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76B" w:rsidRPr="004823C4" w:rsidRDefault="00117962" w:rsidP="004823C4">
      <w:pPr>
        <w:jc w:val="center"/>
        <w:rPr>
          <w:b/>
          <w:sz w:val="30"/>
          <w:szCs w:val="30"/>
        </w:rPr>
      </w:pPr>
      <w:r>
        <w:rPr>
          <w:b/>
          <w:sz w:val="30"/>
          <w:szCs w:val="30"/>
        </w:rPr>
        <w:t>Towards Full Open Access in 2020</w:t>
      </w:r>
      <w:r w:rsidR="0007276B" w:rsidRPr="004823C4">
        <w:rPr>
          <w:b/>
          <w:sz w:val="30"/>
          <w:szCs w:val="30"/>
        </w:rPr>
        <w:t>: EUA reco</w:t>
      </w:r>
      <w:r>
        <w:rPr>
          <w:b/>
          <w:sz w:val="30"/>
          <w:szCs w:val="30"/>
        </w:rPr>
        <w:t>mmendations</w:t>
      </w:r>
    </w:p>
    <w:p w:rsidR="003C02E1" w:rsidRDefault="003C02E1" w:rsidP="00470D90">
      <w:pPr>
        <w:jc w:val="both"/>
        <w:rPr>
          <w:sz w:val="22"/>
          <w:szCs w:val="22"/>
        </w:rPr>
      </w:pPr>
    </w:p>
    <w:p w:rsidR="004823C4" w:rsidRDefault="004823C4" w:rsidP="00470D90">
      <w:pPr>
        <w:jc w:val="both"/>
        <w:rPr>
          <w:sz w:val="22"/>
          <w:szCs w:val="22"/>
        </w:rPr>
      </w:pPr>
    </w:p>
    <w:p w:rsidR="00993813" w:rsidRPr="00993813" w:rsidRDefault="003F3C4D" w:rsidP="00470D90">
      <w:pPr>
        <w:jc w:val="both"/>
        <w:rPr>
          <w:b/>
          <w:sz w:val="28"/>
          <w:szCs w:val="28"/>
        </w:rPr>
      </w:pPr>
      <w:r>
        <w:rPr>
          <w:b/>
          <w:sz w:val="28"/>
          <w:szCs w:val="28"/>
        </w:rPr>
        <w:t>Context</w:t>
      </w:r>
    </w:p>
    <w:p w:rsidR="00993813" w:rsidRDefault="00993813" w:rsidP="00470D90">
      <w:pPr>
        <w:jc w:val="both"/>
        <w:rPr>
          <w:sz w:val="22"/>
          <w:szCs w:val="22"/>
        </w:rPr>
      </w:pPr>
    </w:p>
    <w:p w:rsidR="0007276B" w:rsidRPr="003C02E1" w:rsidRDefault="004823C4" w:rsidP="00470D90">
      <w:pPr>
        <w:jc w:val="both"/>
        <w:rPr>
          <w:sz w:val="22"/>
          <w:szCs w:val="22"/>
        </w:rPr>
      </w:pPr>
      <w:r>
        <w:rPr>
          <w:sz w:val="22"/>
          <w:szCs w:val="22"/>
        </w:rPr>
        <w:t>“</w:t>
      </w:r>
      <w:r w:rsidR="00862CFD" w:rsidRPr="003C02E1">
        <w:rPr>
          <w:sz w:val="22"/>
          <w:szCs w:val="22"/>
        </w:rPr>
        <w:t>Universities and scientists should have adequate and cost-effective platforms for collaborating, disseminating and using sci</w:t>
      </w:r>
      <w:r w:rsidR="00470D90">
        <w:rPr>
          <w:sz w:val="22"/>
          <w:szCs w:val="22"/>
        </w:rPr>
        <w:t>entific publications openly. The European University Association (EUA)</w:t>
      </w:r>
      <w:r w:rsidR="00862CFD" w:rsidRPr="003C02E1">
        <w:rPr>
          <w:sz w:val="22"/>
          <w:szCs w:val="22"/>
        </w:rPr>
        <w:t xml:space="preserve"> aims to contribute to a publishing system that is simultaneously fair and transparent for stakeholders, in particular universities, research institutions, libraries, researchers, research funders, learned societies and commercial publishers.</w:t>
      </w:r>
      <w:r>
        <w:rPr>
          <w:sz w:val="22"/>
          <w:szCs w:val="22"/>
        </w:rPr>
        <w:t>” (</w:t>
      </w:r>
      <w:hyperlink r:id="rId9" w:history="1">
        <w:r w:rsidRPr="004823C4">
          <w:rPr>
            <w:rStyle w:val="Hypertextovodkaz"/>
            <w:sz w:val="22"/>
            <w:szCs w:val="22"/>
          </w:rPr>
          <w:t>EUA Roadmap on OA to Research Publications</w:t>
        </w:r>
      </w:hyperlink>
      <w:r>
        <w:rPr>
          <w:sz w:val="22"/>
          <w:szCs w:val="22"/>
        </w:rPr>
        <w:t>, p. 2)</w:t>
      </w:r>
    </w:p>
    <w:p w:rsidR="0007276B" w:rsidRDefault="0007276B" w:rsidP="00470D90">
      <w:pPr>
        <w:jc w:val="both"/>
        <w:rPr>
          <w:sz w:val="22"/>
          <w:szCs w:val="22"/>
        </w:rPr>
      </w:pPr>
    </w:p>
    <w:p w:rsidR="00AC708A" w:rsidRPr="003C02E1" w:rsidRDefault="00AC708A" w:rsidP="00470D90">
      <w:pPr>
        <w:jc w:val="both"/>
        <w:rPr>
          <w:sz w:val="22"/>
          <w:szCs w:val="22"/>
        </w:rPr>
      </w:pPr>
      <w:r>
        <w:rPr>
          <w:sz w:val="22"/>
          <w:szCs w:val="22"/>
        </w:rPr>
        <w:t>As t</w:t>
      </w:r>
      <w:r w:rsidRPr="003C02E1">
        <w:rPr>
          <w:sz w:val="22"/>
          <w:szCs w:val="22"/>
        </w:rPr>
        <w:t>he</w:t>
      </w:r>
      <w:r>
        <w:rPr>
          <w:sz w:val="22"/>
          <w:szCs w:val="22"/>
        </w:rPr>
        <w:t xml:space="preserve"> movement towards Open Access </w:t>
      </w:r>
      <w:r w:rsidR="00214EC3">
        <w:rPr>
          <w:sz w:val="22"/>
          <w:szCs w:val="22"/>
        </w:rPr>
        <w:t xml:space="preserve">(OA) </w:t>
      </w:r>
      <w:r>
        <w:rPr>
          <w:sz w:val="22"/>
          <w:szCs w:val="22"/>
        </w:rPr>
        <w:t xml:space="preserve">in Europe has </w:t>
      </w:r>
      <w:r w:rsidR="00C21474">
        <w:rPr>
          <w:sz w:val="22"/>
          <w:szCs w:val="22"/>
        </w:rPr>
        <w:t xml:space="preserve">considerably </w:t>
      </w:r>
      <w:r>
        <w:rPr>
          <w:sz w:val="22"/>
          <w:szCs w:val="22"/>
        </w:rPr>
        <w:t xml:space="preserve">gained </w:t>
      </w:r>
      <w:r w:rsidR="00214EC3">
        <w:rPr>
          <w:sz w:val="22"/>
          <w:szCs w:val="22"/>
        </w:rPr>
        <w:t>momentum in the last two years through initiatives led by policymakers, governments, university leaders and researchers alike</w:t>
      </w:r>
      <w:r w:rsidR="00CD5CE4">
        <w:rPr>
          <w:sz w:val="22"/>
          <w:szCs w:val="22"/>
        </w:rPr>
        <w:t>,</w:t>
      </w:r>
      <w:r w:rsidR="00214EC3">
        <w:rPr>
          <w:sz w:val="22"/>
          <w:szCs w:val="22"/>
        </w:rPr>
        <w:t xml:space="preserve"> such as the European Commission’s </w:t>
      </w:r>
      <w:hyperlink r:id="rId10" w:history="1">
        <w:r w:rsidR="00214EC3" w:rsidRPr="00005620">
          <w:rPr>
            <w:rStyle w:val="Hypertextovodkaz"/>
            <w:sz w:val="22"/>
            <w:szCs w:val="22"/>
          </w:rPr>
          <w:t>policies</w:t>
        </w:r>
      </w:hyperlink>
      <w:r w:rsidR="00214EC3">
        <w:rPr>
          <w:sz w:val="22"/>
          <w:szCs w:val="22"/>
        </w:rPr>
        <w:t xml:space="preserve"> on OA within Horizon 2020</w:t>
      </w:r>
      <w:r w:rsidR="00993813">
        <w:rPr>
          <w:sz w:val="22"/>
          <w:szCs w:val="22"/>
        </w:rPr>
        <w:t xml:space="preserve"> and the activities of the </w:t>
      </w:r>
      <w:hyperlink r:id="rId11" w:history="1">
        <w:r w:rsidR="00993813" w:rsidRPr="00005620">
          <w:rPr>
            <w:rStyle w:val="Hypertextovodkaz"/>
            <w:sz w:val="22"/>
            <w:szCs w:val="22"/>
          </w:rPr>
          <w:t>Open Science Policy Platform</w:t>
        </w:r>
      </w:hyperlink>
      <w:r w:rsidR="00214EC3">
        <w:rPr>
          <w:sz w:val="22"/>
          <w:szCs w:val="22"/>
        </w:rPr>
        <w:t xml:space="preserve">, the </w:t>
      </w:r>
      <w:hyperlink r:id="rId12" w:history="1">
        <w:r w:rsidR="00214EC3" w:rsidRPr="00005620">
          <w:rPr>
            <w:rStyle w:val="Hypertextovodkaz"/>
            <w:sz w:val="22"/>
            <w:szCs w:val="22"/>
          </w:rPr>
          <w:t>Amsterdam Call</w:t>
        </w:r>
      </w:hyperlink>
      <w:r w:rsidR="00214EC3">
        <w:rPr>
          <w:sz w:val="22"/>
          <w:szCs w:val="22"/>
        </w:rPr>
        <w:t xml:space="preserve"> for Action on Open Science, the </w:t>
      </w:r>
      <w:hyperlink r:id="rId13" w:history="1">
        <w:r w:rsidR="00214EC3" w:rsidRPr="00005620">
          <w:rPr>
            <w:rStyle w:val="Hypertextovodkaz"/>
            <w:sz w:val="22"/>
            <w:szCs w:val="22"/>
          </w:rPr>
          <w:t>Council conclusions</w:t>
        </w:r>
      </w:hyperlink>
      <w:r w:rsidR="00214EC3">
        <w:rPr>
          <w:sz w:val="22"/>
          <w:szCs w:val="22"/>
        </w:rPr>
        <w:t xml:space="preserve"> </w:t>
      </w:r>
      <w:r w:rsidR="00005620">
        <w:rPr>
          <w:sz w:val="22"/>
          <w:szCs w:val="22"/>
        </w:rPr>
        <w:t>on the transition towards an Open Science system</w:t>
      </w:r>
      <w:r w:rsidR="00214EC3">
        <w:rPr>
          <w:sz w:val="22"/>
          <w:szCs w:val="22"/>
        </w:rPr>
        <w:t xml:space="preserve">, the OA 2020 </w:t>
      </w:r>
      <w:hyperlink r:id="rId14" w:history="1">
        <w:r w:rsidR="00214EC3" w:rsidRPr="00005620">
          <w:rPr>
            <w:rStyle w:val="Hypertextovodkaz"/>
            <w:sz w:val="22"/>
            <w:szCs w:val="22"/>
          </w:rPr>
          <w:t>Expression of Interest</w:t>
        </w:r>
      </w:hyperlink>
      <w:r w:rsidR="00214EC3">
        <w:rPr>
          <w:sz w:val="22"/>
          <w:szCs w:val="22"/>
        </w:rPr>
        <w:t xml:space="preserve"> and the </w:t>
      </w:r>
      <w:hyperlink r:id="rId15" w:history="1">
        <w:r w:rsidR="00214EC3" w:rsidRPr="00D61452">
          <w:rPr>
            <w:rStyle w:val="Hypertextovodkaz"/>
            <w:sz w:val="22"/>
            <w:szCs w:val="22"/>
          </w:rPr>
          <w:t>EUA Roadmap</w:t>
        </w:r>
      </w:hyperlink>
      <w:r w:rsidR="00214EC3">
        <w:rPr>
          <w:sz w:val="22"/>
          <w:szCs w:val="22"/>
        </w:rPr>
        <w:t xml:space="preserve"> on OA to Research Publications, </w:t>
      </w:r>
      <w:r w:rsidR="00470D90">
        <w:rPr>
          <w:sz w:val="22"/>
          <w:szCs w:val="22"/>
        </w:rPr>
        <w:t xml:space="preserve">EUA as the representative organisation of more than 800 universities in 47 </w:t>
      </w:r>
      <w:r w:rsidR="00F34ADC">
        <w:rPr>
          <w:sz w:val="22"/>
          <w:szCs w:val="22"/>
        </w:rPr>
        <w:t xml:space="preserve">European </w:t>
      </w:r>
      <w:r w:rsidR="00470D90">
        <w:rPr>
          <w:sz w:val="22"/>
          <w:szCs w:val="22"/>
        </w:rPr>
        <w:t>countries</w:t>
      </w:r>
      <w:r w:rsidR="00BB1DBE">
        <w:rPr>
          <w:sz w:val="22"/>
          <w:szCs w:val="22"/>
        </w:rPr>
        <w:t xml:space="preserve">, envisions the </w:t>
      </w:r>
      <w:r w:rsidR="00C7314E">
        <w:rPr>
          <w:sz w:val="22"/>
          <w:szCs w:val="22"/>
        </w:rPr>
        <w:t xml:space="preserve">following goals </w:t>
      </w:r>
      <w:r w:rsidR="00C7314E" w:rsidRPr="00574233">
        <w:rPr>
          <w:sz w:val="22"/>
          <w:szCs w:val="22"/>
        </w:rPr>
        <w:t xml:space="preserve">for </w:t>
      </w:r>
      <w:r w:rsidR="00470D90" w:rsidRPr="009A36B3">
        <w:rPr>
          <w:sz w:val="22"/>
          <w:szCs w:val="22"/>
        </w:rPr>
        <w:t>turning OA into reality by 2020</w:t>
      </w:r>
      <w:r w:rsidR="00C21474" w:rsidRPr="009A36B3">
        <w:rPr>
          <w:sz w:val="22"/>
          <w:szCs w:val="22"/>
        </w:rPr>
        <w:t>:</w:t>
      </w:r>
    </w:p>
    <w:p w:rsidR="006A3A21" w:rsidRPr="006A3A21" w:rsidRDefault="006A3A21" w:rsidP="006A3A21">
      <w:pPr>
        <w:rPr>
          <w:rFonts w:ascii="Times New Roman" w:eastAsia="Times New Roman" w:hAnsi="Times New Roman" w:cs="Times New Roman"/>
          <w:lang w:val="en-US"/>
        </w:rPr>
      </w:pPr>
    </w:p>
    <w:p w:rsidR="00A74198" w:rsidRPr="00586EF7" w:rsidRDefault="00586EF7" w:rsidP="00470D90">
      <w:pPr>
        <w:jc w:val="both"/>
        <w:rPr>
          <w:b/>
          <w:sz w:val="28"/>
          <w:szCs w:val="28"/>
          <w:lang w:val="en-US"/>
        </w:rPr>
      </w:pPr>
      <w:r w:rsidRPr="00586EF7">
        <w:rPr>
          <w:b/>
          <w:sz w:val="28"/>
          <w:szCs w:val="28"/>
          <w:lang w:val="en-US"/>
        </w:rPr>
        <w:t>Vision</w:t>
      </w:r>
    </w:p>
    <w:p w:rsidR="00586EF7" w:rsidRDefault="00586EF7" w:rsidP="00470D90">
      <w:pPr>
        <w:jc w:val="both"/>
        <w:rPr>
          <w:sz w:val="22"/>
          <w:szCs w:val="22"/>
          <w:lang w:val="en-US"/>
        </w:rPr>
      </w:pPr>
    </w:p>
    <w:p w:rsidR="006A3A21" w:rsidRPr="003F3C4D" w:rsidRDefault="006A3A21" w:rsidP="00470D90">
      <w:pPr>
        <w:jc w:val="both"/>
        <w:rPr>
          <w:sz w:val="22"/>
          <w:szCs w:val="22"/>
          <w:lang w:val="en-US"/>
        </w:rPr>
      </w:pPr>
      <w:r w:rsidRPr="003F3C4D">
        <w:rPr>
          <w:sz w:val="22"/>
          <w:szCs w:val="22"/>
          <w:lang w:val="en-US"/>
        </w:rPr>
        <w:t xml:space="preserve">The long-term goal in the area of open access is the development of a communication system that </w:t>
      </w:r>
      <w:proofErr w:type="gramStart"/>
      <w:r w:rsidR="00925039" w:rsidRPr="003F3C4D">
        <w:rPr>
          <w:sz w:val="22"/>
          <w:szCs w:val="22"/>
          <w:lang w:val="en-US"/>
        </w:rPr>
        <w:t>enables</w:t>
      </w:r>
      <w:proofErr w:type="gramEnd"/>
      <w:r w:rsidR="00925039" w:rsidRPr="003F3C4D">
        <w:rPr>
          <w:sz w:val="22"/>
          <w:szCs w:val="22"/>
          <w:lang w:val="en-US"/>
        </w:rPr>
        <w:t xml:space="preserve"> and promotes a seamless flow of knowledge</w:t>
      </w:r>
      <w:r w:rsidR="005F3F10" w:rsidRPr="003F3C4D">
        <w:rPr>
          <w:sz w:val="22"/>
          <w:szCs w:val="22"/>
          <w:lang w:val="en-US"/>
        </w:rPr>
        <w:t xml:space="preserve"> within and beyond academia</w:t>
      </w:r>
      <w:r w:rsidR="00925039" w:rsidRPr="003F3C4D">
        <w:rPr>
          <w:sz w:val="22"/>
          <w:szCs w:val="22"/>
          <w:lang w:val="en-US"/>
        </w:rPr>
        <w:t xml:space="preserve">. </w:t>
      </w:r>
      <w:r w:rsidR="00AD5A55" w:rsidRPr="003F3C4D">
        <w:rPr>
          <w:sz w:val="22"/>
          <w:szCs w:val="22"/>
          <w:lang w:val="en-US"/>
        </w:rPr>
        <w:t>This</w:t>
      </w:r>
      <w:r w:rsidR="00925039" w:rsidRPr="003F3C4D">
        <w:rPr>
          <w:sz w:val="22"/>
          <w:szCs w:val="22"/>
          <w:lang w:val="en-US"/>
        </w:rPr>
        <w:t xml:space="preserve"> open system is critical for the progress of science, research and society at large</w:t>
      </w:r>
      <w:r w:rsidR="00723651" w:rsidRPr="003F3C4D">
        <w:rPr>
          <w:sz w:val="22"/>
          <w:szCs w:val="22"/>
          <w:lang w:val="en-US"/>
        </w:rPr>
        <w:t xml:space="preserve">. </w:t>
      </w:r>
      <w:r w:rsidR="009A75D3" w:rsidRPr="003F3C4D">
        <w:rPr>
          <w:sz w:val="22"/>
          <w:szCs w:val="22"/>
          <w:lang w:val="en-US"/>
        </w:rPr>
        <w:t xml:space="preserve">It is bound to </w:t>
      </w:r>
      <w:r w:rsidR="009921BB" w:rsidRPr="003F3C4D">
        <w:rPr>
          <w:sz w:val="22"/>
          <w:szCs w:val="22"/>
          <w:lang w:val="en-US"/>
        </w:rPr>
        <w:t xml:space="preserve">enhance the transparency and integrity of science, </w:t>
      </w:r>
      <w:r w:rsidR="003F3C4D" w:rsidRPr="003F3C4D">
        <w:rPr>
          <w:sz w:val="22"/>
          <w:szCs w:val="22"/>
          <w:lang w:val="en-US"/>
        </w:rPr>
        <w:t>foster</w:t>
      </w:r>
      <w:r w:rsidR="009921BB" w:rsidRPr="003F3C4D">
        <w:rPr>
          <w:sz w:val="22"/>
          <w:szCs w:val="22"/>
          <w:lang w:val="en-US"/>
        </w:rPr>
        <w:t xml:space="preserve"> knowledge transfer, increase societal acceptance and engagement with science, </w:t>
      </w:r>
      <w:r w:rsidR="009A75D3" w:rsidRPr="003F3C4D">
        <w:rPr>
          <w:sz w:val="22"/>
          <w:szCs w:val="22"/>
          <w:lang w:val="en-US"/>
        </w:rPr>
        <w:t xml:space="preserve">create spillover effects in the economy, and facilitate </w:t>
      </w:r>
      <w:r w:rsidR="009A75D3" w:rsidRPr="003F3C4D">
        <w:rPr>
          <w:sz w:val="22"/>
          <w:szCs w:val="22"/>
        </w:rPr>
        <w:t>addressing</w:t>
      </w:r>
      <w:r w:rsidR="009A75D3" w:rsidRPr="003F3C4D">
        <w:rPr>
          <w:sz w:val="22"/>
          <w:szCs w:val="22"/>
          <w:lang w:val="en-US"/>
        </w:rPr>
        <w:t xml:space="preserve"> global challenges such as climate change. </w:t>
      </w:r>
      <w:r w:rsidR="00AD5A55" w:rsidRPr="003F3C4D">
        <w:rPr>
          <w:sz w:val="22"/>
          <w:szCs w:val="22"/>
          <w:lang w:val="en-US"/>
        </w:rPr>
        <w:t>Achieving a balance of realistic costs and benefits shared by all stakeholders is</w:t>
      </w:r>
      <w:r w:rsidR="0002439C" w:rsidRPr="003F3C4D">
        <w:rPr>
          <w:sz w:val="22"/>
          <w:szCs w:val="22"/>
          <w:lang w:val="en-US"/>
        </w:rPr>
        <w:t>, at the same time,</w:t>
      </w:r>
      <w:r w:rsidR="00AD5A55" w:rsidRPr="003F3C4D">
        <w:rPr>
          <w:sz w:val="22"/>
          <w:szCs w:val="22"/>
          <w:lang w:val="en-US"/>
        </w:rPr>
        <w:t xml:space="preserve"> a critical</w:t>
      </w:r>
      <w:r w:rsidR="0002439C" w:rsidRPr="003F3C4D">
        <w:rPr>
          <w:sz w:val="22"/>
          <w:szCs w:val="22"/>
          <w:lang w:val="en-US"/>
        </w:rPr>
        <w:t xml:space="preserve"> objective for </w:t>
      </w:r>
      <w:r w:rsidR="00AD5A55" w:rsidRPr="003F3C4D">
        <w:rPr>
          <w:sz w:val="22"/>
          <w:szCs w:val="22"/>
          <w:lang w:val="en-US"/>
        </w:rPr>
        <w:t>European universities.</w:t>
      </w:r>
    </w:p>
    <w:p w:rsidR="00586EF7" w:rsidRPr="003F3C4D" w:rsidRDefault="00586EF7" w:rsidP="00470D90">
      <w:pPr>
        <w:jc w:val="both"/>
        <w:rPr>
          <w:sz w:val="22"/>
          <w:szCs w:val="22"/>
          <w:lang w:val="en-US"/>
        </w:rPr>
      </w:pPr>
    </w:p>
    <w:p w:rsidR="00AD5A55" w:rsidRPr="003F3C4D" w:rsidRDefault="00AD5A55" w:rsidP="00470D90">
      <w:pPr>
        <w:jc w:val="both"/>
        <w:rPr>
          <w:sz w:val="22"/>
          <w:szCs w:val="22"/>
          <w:lang w:val="en-US"/>
        </w:rPr>
      </w:pPr>
      <w:r w:rsidRPr="003F3C4D">
        <w:rPr>
          <w:sz w:val="22"/>
          <w:szCs w:val="22"/>
          <w:lang w:val="en-US"/>
        </w:rPr>
        <w:t>Looking ahead, an open scientific communication sys</w:t>
      </w:r>
      <w:r w:rsidR="0094489E" w:rsidRPr="003F3C4D">
        <w:rPr>
          <w:sz w:val="22"/>
          <w:szCs w:val="22"/>
          <w:lang w:val="en-US"/>
        </w:rPr>
        <w:t>tem requires</w:t>
      </w:r>
      <w:r w:rsidRPr="003F3C4D">
        <w:rPr>
          <w:sz w:val="22"/>
          <w:szCs w:val="22"/>
          <w:lang w:val="en-US"/>
        </w:rPr>
        <w:t xml:space="preserve"> online platforms for scientific publishing</w:t>
      </w:r>
      <w:r w:rsidR="0094489E" w:rsidRPr="003F3C4D">
        <w:rPr>
          <w:sz w:val="22"/>
          <w:szCs w:val="22"/>
          <w:lang w:val="en-US"/>
        </w:rPr>
        <w:t xml:space="preserve"> that </w:t>
      </w:r>
      <w:r w:rsidRPr="003F3C4D">
        <w:rPr>
          <w:sz w:val="22"/>
          <w:szCs w:val="22"/>
          <w:lang w:val="en-US"/>
        </w:rPr>
        <w:t>must provide essential conditions</w:t>
      </w:r>
      <w:r w:rsidR="0094489E" w:rsidRPr="003F3C4D">
        <w:rPr>
          <w:sz w:val="22"/>
          <w:szCs w:val="22"/>
          <w:lang w:val="en-US"/>
        </w:rPr>
        <w:t>, namely:</w:t>
      </w:r>
      <w:r w:rsidRPr="003F3C4D">
        <w:rPr>
          <w:sz w:val="22"/>
          <w:szCs w:val="22"/>
          <w:lang w:val="en-US"/>
        </w:rPr>
        <w:t xml:space="preserve"> guaranteeing </w:t>
      </w:r>
      <w:r w:rsidR="0094489E" w:rsidRPr="003F3C4D">
        <w:rPr>
          <w:sz w:val="22"/>
          <w:szCs w:val="22"/>
          <w:lang w:val="en-US"/>
        </w:rPr>
        <w:t>the quality of the peer-review;</w:t>
      </w:r>
      <w:r w:rsidRPr="003F3C4D">
        <w:rPr>
          <w:sz w:val="22"/>
          <w:szCs w:val="22"/>
          <w:lang w:val="en-US"/>
        </w:rPr>
        <w:t xml:space="preserve"> ensuring that the scientific ownership lies with the author and/or institution, with open licenses for</w:t>
      </w:r>
      <w:r w:rsidR="00586EF7" w:rsidRPr="003F3C4D">
        <w:rPr>
          <w:sz w:val="22"/>
          <w:szCs w:val="22"/>
          <w:lang w:val="en-US"/>
        </w:rPr>
        <w:t xml:space="preserve"> reading and</w:t>
      </w:r>
      <w:r w:rsidRPr="003F3C4D">
        <w:rPr>
          <w:sz w:val="22"/>
          <w:szCs w:val="22"/>
          <w:lang w:val="en-US"/>
        </w:rPr>
        <w:t xml:space="preserve"> unrestricted use and re-use of information; ensuring the right to mine content and data. All these services must be provided with a realistic balance of cost-service ratio in a transparent way.</w:t>
      </w:r>
    </w:p>
    <w:p w:rsidR="006A3A21" w:rsidRPr="003F3C4D" w:rsidRDefault="006A3A21" w:rsidP="00470D90">
      <w:pPr>
        <w:jc w:val="both"/>
        <w:rPr>
          <w:sz w:val="22"/>
          <w:szCs w:val="22"/>
          <w:lang w:val="en-US"/>
        </w:rPr>
      </w:pPr>
    </w:p>
    <w:p w:rsidR="00AD5A55" w:rsidRPr="003F3C4D" w:rsidRDefault="00586EF7" w:rsidP="00470D90">
      <w:pPr>
        <w:jc w:val="both"/>
        <w:rPr>
          <w:sz w:val="22"/>
          <w:szCs w:val="22"/>
        </w:rPr>
      </w:pPr>
      <w:r w:rsidRPr="003F3C4D">
        <w:rPr>
          <w:sz w:val="22"/>
          <w:szCs w:val="22"/>
          <w:lang w:val="en-US"/>
        </w:rPr>
        <w:t>T</w:t>
      </w:r>
      <w:r w:rsidR="00AD5A55" w:rsidRPr="003F3C4D">
        <w:rPr>
          <w:sz w:val="22"/>
          <w:szCs w:val="22"/>
        </w:rPr>
        <w:t xml:space="preserve">he publication paradigm is changing and both universities and scientific publishers need to move forward into a model where researchers and their institutions pay for publishing, but are not charged for reading or for re-using content. Full Open Access in 2020 can be achieved if all stakeholders act together. However, aiming at achieving that goal only through </w:t>
      </w:r>
      <w:r w:rsidRPr="003F3C4D">
        <w:rPr>
          <w:sz w:val="22"/>
          <w:szCs w:val="22"/>
        </w:rPr>
        <w:t>Article Processing Charges ‘</w:t>
      </w:r>
      <w:r w:rsidR="004B23A0" w:rsidRPr="003F3C4D">
        <w:rPr>
          <w:sz w:val="22"/>
          <w:szCs w:val="22"/>
        </w:rPr>
        <w:t>APC</w:t>
      </w:r>
      <w:r w:rsidRPr="003F3C4D">
        <w:rPr>
          <w:sz w:val="22"/>
          <w:szCs w:val="22"/>
        </w:rPr>
        <w:t>’</w:t>
      </w:r>
      <w:r w:rsidR="004B23A0" w:rsidRPr="003F3C4D">
        <w:rPr>
          <w:sz w:val="22"/>
          <w:szCs w:val="22"/>
        </w:rPr>
        <w:t xml:space="preserve"> implementing a gold OA route </w:t>
      </w:r>
      <w:r w:rsidR="00AD5A55" w:rsidRPr="003F3C4D">
        <w:rPr>
          <w:sz w:val="22"/>
          <w:szCs w:val="22"/>
        </w:rPr>
        <w:t>is unrealistic</w:t>
      </w:r>
      <w:r w:rsidRPr="003F3C4D">
        <w:rPr>
          <w:sz w:val="22"/>
          <w:szCs w:val="22"/>
        </w:rPr>
        <w:t xml:space="preserve"> given the different needs of researchers in different fields and given the different economic and organisational situation of European countries</w:t>
      </w:r>
      <w:r w:rsidR="00AD5A55" w:rsidRPr="003F3C4D">
        <w:rPr>
          <w:sz w:val="22"/>
          <w:szCs w:val="22"/>
        </w:rPr>
        <w:t>.</w:t>
      </w:r>
      <w:r w:rsidR="003F3C4D" w:rsidRPr="003F3C4D">
        <w:rPr>
          <w:sz w:val="22"/>
          <w:szCs w:val="22"/>
        </w:rPr>
        <w:t xml:space="preserve"> It is of outmost importance to find new, </w:t>
      </w:r>
      <w:r w:rsidR="00AD5A55" w:rsidRPr="003F3C4D">
        <w:rPr>
          <w:sz w:val="22"/>
          <w:szCs w:val="22"/>
        </w:rPr>
        <w:t xml:space="preserve">appropriate </w:t>
      </w:r>
      <w:r w:rsidR="003F3C4D" w:rsidRPr="003F3C4D">
        <w:rPr>
          <w:sz w:val="22"/>
          <w:szCs w:val="22"/>
        </w:rPr>
        <w:t xml:space="preserve">large-scale </w:t>
      </w:r>
      <w:r w:rsidR="00AD5A55" w:rsidRPr="003F3C4D">
        <w:rPr>
          <w:sz w:val="22"/>
          <w:szCs w:val="22"/>
        </w:rPr>
        <w:t xml:space="preserve">economic models that ensure sustainability of OA through public funds </w:t>
      </w:r>
      <w:r w:rsidR="003F3C4D" w:rsidRPr="003F3C4D">
        <w:rPr>
          <w:sz w:val="22"/>
          <w:szCs w:val="22"/>
        </w:rPr>
        <w:t>to move from a mixed system of ‘paying for reading’ and ‘paying for publishing’ to a ‘pay to publish and read’</w:t>
      </w:r>
      <w:r w:rsidR="00AD5A55" w:rsidRPr="003F3C4D">
        <w:rPr>
          <w:sz w:val="22"/>
          <w:szCs w:val="22"/>
        </w:rPr>
        <w:t>.</w:t>
      </w:r>
    </w:p>
    <w:p w:rsidR="00AD5A55" w:rsidRPr="003F3C4D" w:rsidRDefault="00AD5A55" w:rsidP="00470D90">
      <w:pPr>
        <w:jc w:val="both"/>
        <w:rPr>
          <w:sz w:val="22"/>
          <w:szCs w:val="22"/>
        </w:rPr>
      </w:pPr>
    </w:p>
    <w:p w:rsidR="0045535B" w:rsidRPr="00D157B7" w:rsidRDefault="0045535B" w:rsidP="00470D90">
      <w:pPr>
        <w:jc w:val="both"/>
        <w:rPr>
          <w:sz w:val="22"/>
          <w:szCs w:val="22"/>
        </w:rPr>
      </w:pPr>
      <w:r w:rsidRPr="00D157B7">
        <w:rPr>
          <w:sz w:val="22"/>
          <w:szCs w:val="22"/>
        </w:rPr>
        <w:t>Taking into account the vision outlined above, the background information, and the outcomes of EUA’s Open Access surveys of 2015/16 and 2016/17</w:t>
      </w:r>
      <w:r w:rsidR="00586EF7">
        <w:rPr>
          <w:sz w:val="22"/>
          <w:szCs w:val="22"/>
        </w:rPr>
        <w:t xml:space="preserve"> (#links to be inserted)</w:t>
      </w:r>
      <w:r w:rsidRPr="00D157B7">
        <w:rPr>
          <w:sz w:val="22"/>
          <w:szCs w:val="22"/>
        </w:rPr>
        <w:t>, EUA proposes the following recommendations for turning OA into reality by 2020.</w:t>
      </w:r>
    </w:p>
    <w:p w:rsidR="00993813" w:rsidRDefault="00993813" w:rsidP="00470D90">
      <w:pPr>
        <w:jc w:val="both"/>
        <w:rPr>
          <w:sz w:val="22"/>
          <w:szCs w:val="22"/>
        </w:rPr>
      </w:pPr>
    </w:p>
    <w:p w:rsidR="00AC708A" w:rsidRPr="00993813" w:rsidRDefault="00993813" w:rsidP="00470D90">
      <w:pPr>
        <w:jc w:val="both"/>
        <w:rPr>
          <w:b/>
          <w:sz w:val="28"/>
          <w:szCs w:val="28"/>
        </w:rPr>
      </w:pPr>
      <w:r w:rsidRPr="00993813">
        <w:rPr>
          <w:b/>
          <w:sz w:val="28"/>
          <w:szCs w:val="28"/>
        </w:rPr>
        <w:t>Recommendations</w:t>
      </w:r>
    </w:p>
    <w:p w:rsidR="00993813" w:rsidRPr="003C02E1" w:rsidRDefault="00993813" w:rsidP="00470D90">
      <w:pPr>
        <w:jc w:val="both"/>
        <w:rPr>
          <w:sz w:val="22"/>
          <w:szCs w:val="22"/>
        </w:rPr>
      </w:pPr>
    </w:p>
    <w:p w:rsidR="00DE41F0" w:rsidRDefault="0007276B" w:rsidP="00470D90">
      <w:pPr>
        <w:pStyle w:val="Odstavecseseznamem"/>
        <w:numPr>
          <w:ilvl w:val="0"/>
          <w:numId w:val="1"/>
        </w:numPr>
        <w:jc w:val="both"/>
        <w:rPr>
          <w:b/>
          <w:sz w:val="22"/>
          <w:szCs w:val="22"/>
        </w:rPr>
      </w:pPr>
      <w:r w:rsidRPr="003C02E1">
        <w:rPr>
          <w:b/>
          <w:sz w:val="22"/>
          <w:szCs w:val="22"/>
        </w:rPr>
        <w:t>Transition to OA</w:t>
      </w:r>
    </w:p>
    <w:p w:rsidR="00D61452" w:rsidRPr="00D61452" w:rsidRDefault="00D61452" w:rsidP="00D61452">
      <w:pPr>
        <w:jc w:val="both"/>
        <w:rPr>
          <w:sz w:val="22"/>
          <w:szCs w:val="22"/>
        </w:rPr>
      </w:pPr>
    </w:p>
    <w:p w:rsidR="00DE41F0" w:rsidRDefault="007C1723" w:rsidP="00470D90">
      <w:pPr>
        <w:jc w:val="both"/>
        <w:rPr>
          <w:sz w:val="22"/>
          <w:szCs w:val="22"/>
        </w:rPr>
      </w:pPr>
      <w:r w:rsidRPr="003C02E1">
        <w:rPr>
          <w:sz w:val="22"/>
          <w:szCs w:val="22"/>
        </w:rPr>
        <w:t xml:space="preserve">While </w:t>
      </w:r>
      <w:r w:rsidR="00DE41F0" w:rsidRPr="003C02E1">
        <w:rPr>
          <w:sz w:val="22"/>
          <w:szCs w:val="22"/>
        </w:rPr>
        <w:t xml:space="preserve">scientific journals </w:t>
      </w:r>
      <w:r w:rsidR="00591E93" w:rsidRPr="003C02E1">
        <w:rPr>
          <w:sz w:val="22"/>
          <w:szCs w:val="22"/>
        </w:rPr>
        <w:t xml:space="preserve">are </w:t>
      </w:r>
      <w:r w:rsidR="00DE41F0" w:rsidRPr="003C02E1">
        <w:rPr>
          <w:sz w:val="22"/>
          <w:szCs w:val="22"/>
        </w:rPr>
        <w:t xml:space="preserve">available via subscriptions, support is needed for the two </w:t>
      </w:r>
      <w:r w:rsidR="00591E93" w:rsidRPr="003C02E1">
        <w:rPr>
          <w:sz w:val="22"/>
          <w:szCs w:val="22"/>
        </w:rPr>
        <w:t xml:space="preserve">main </w:t>
      </w:r>
      <w:r w:rsidR="00DE41F0" w:rsidRPr="003C02E1">
        <w:rPr>
          <w:sz w:val="22"/>
          <w:szCs w:val="22"/>
        </w:rPr>
        <w:t>OA routes: green and gold</w:t>
      </w:r>
      <w:r w:rsidR="00D61452">
        <w:rPr>
          <w:sz w:val="22"/>
          <w:szCs w:val="22"/>
        </w:rPr>
        <w:t>.</w:t>
      </w:r>
    </w:p>
    <w:p w:rsidR="00D61452" w:rsidRPr="003C02E1" w:rsidRDefault="00D61452" w:rsidP="00470D90">
      <w:pPr>
        <w:jc w:val="both"/>
        <w:rPr>
          <w:sz w:val="22"/>
          <w:szCs w:val="22"/>
        </w:rPr>
      </w:pPr>
    </w:p>
    <w:p w:rsidR="00606511" w:rsidRDefault="00606511" w:rsidP="00606511">
      <w:pPr>
        <w:pStyle w:val="Odstavecseseznamem"/>
        <w:numPr>
          <w:ilvl w:val="0"/>
          <w:numId w:val="2"/>
        </w:numPr>
        <w:jc w:val="both"/>
        <w:rPr>
          <w:sz w:val="22"/>
          <w:szCs w:val="22"/>
        </w:rPr>
      </w:pPr>
      <w:r w:rsidRPr="00606511">
        <w:rPr>
          <w:sz w:val="22"/>
          <w:szCs w:val="22"/>
        </w:rPr>
        <w:t>The involvement of</w:t>
      </w:r>
      <w:r w:rsidR="00875ED4">
        <w:rPr>
          <w:sz w:val="22"/>
          <w:szCs w:val="22"/>
        </w:rPr>
        <w:t xml:space="preserve"> researchers is important in</w:t>
      </w:r>
      <w:r w:rsidRPr="00606511">
        <w:rPr>
          <w:sz w:val="22"/>
          <w:szCs w:val="22"/>
        </w:rPr>
        <w:t xml:space="preserve"> research assessment procedures</w:t>
      </w:r>
      <w:r w:rsidR="00875ED4">
        <w:rPr>
          <w:sz w:val="22"/>
          <w:szCs w:val="22"/>
        </w:rPr>
        <w:t>.</w:t>
      </w:r>
      <w:r w:rsidRPr="00606511">
        <w:rPr>
          <w:sz w:val="22"/>
          <w:szCs w:val="22"/>
        </w:rPr>
        <w:t xml:space="preserve"> </w:t>
      </w:r>
      <w:r w:rsidR="00875ED4">
        <w:rPr>
          <w:sz w:val="22"/>
          <w:szCs w:val="22"/>
        </w:rPr>
        <w:t>A</w:t>
      </w:r>
      <w:r w:rsidRPr="00606511">
        <w:rPr>
          <w:sz w:val="22"/>
          <w:szCs w:val="22"/>
        </w:rPr>
        <w:t xml:space="preserve">s long as they are being judged on traditional criteria, </w:t>
      </w:r>
      <w:r w:rsidR="00C17625">
        <w:rPr>
          <w:sz w:val="22"/>
          <w:szCs w:val="22"/>
        </w:rPr>
        <w:t xml:space="preserve">such as journal impact factors, </w:t>
      </w:r>
      <w:r w:rsidRPr="00606511">
        <w:rPr>
          <w:sz w:val="22"/>
          <w:szCs w:val="22"/>
        </w:rPr>
        <w:t xml:space="preserve">there is no </w:t>
      </w:r>
      <w:r w:rsidR="006C104A">
        <w:rPr>
          <w:sz w:val="22"/>
          <w:szCs w:val="22"/>
        </w:rPr>
        <w:t>prospect of meaningful</w:t>
      </w:r>
      <w:r w:rsidRPr="00606511">
        <w:rPr>
          <w:sz w:val="22"/>
          <w:szCs w:val="22"/>
        </w:rPr>
        <w:t xml:space="preserve"> change. </w:t>
      </w:r>
      <w:r w:rsidR="00C17625">
        <w:rPr>
          <w:sz w:val="22"/>
          <w:szCs w:val="22"/>
        </w:rPr>
        <w:t>The</w:t>
      </w:r>
      <w:r w:rsidRPr="00606511">
        <w:rPr>
          <w:sz w:val="22"/>
          <w:szCs w:val="22"/>
        </w:rPr>
        <w:t xml:space="preserve"> </w:t>
      </w:r>
      <w:r w:rsidR="00C17625">
        <w:rPr>
          <w:sz w:val="22"/>
          <w:szCs w:val="22"/>
        </w:rPr>
        <w:t>scientific</w:t>
      </w:r>
      <w:r w:rsidRPr="00606511">
        <w:rPr>
          <w:sz w:val="22"/>
          <w:szCs w:val="22"/>
        </w:rPr>
        <w:t xml:space="preserve"> community </w:t>
      </w:r>
      <w:r w:rsidR="00C17625">
        <w:rPr>
          <w:sz w:val="22"/>
          <w:szCs w:val="22"/>
        </w:rPr>
        <w:t>must</w:t>
      </w:r>
      <w:r w:rsidRPr="00606511">
        <w:rPr>
          <w:sz w:val="22"/>
          <w:szCs w:val="22"/>
        </w:rPr>
        <w:t xml:space="preserve"> regain its ‘scientific sovereignty’, including economic and financial aspects.</w:t>
      </w:r>
    </w:p>
    <w:p w:rsidR="00606511" w:rsidRDefault="006E5B67" w:rsidP="00606511">
      <w:pPr>
        <w:pStyle w:val="Odstavecseseznamem"/>
        <w:numPr>
          <w:ilvl w:val="0"/>
          <w:numId w:val="2"/>
        </w:numPr>
        <w:jc w:val="both"/>
        <w:rPr>
          <w:sz w:val="22"/>
          <w:szCs w:val="22"/>
        </w:rPr>
      </w:pPr>
      <w:r>
        <w:rPr>
          <w:sz w:val="22"/>
          <w:szCs w:val="22"/>
        </w:rPr>
        <w:t xml:space="preserve">Cost transparency in the scientific publishing market has to increase </w:t>
      </w:r>
      <w:r w:rsidR="00742FF0">
        <w:rPr>
          <w:sz w:val="22"/>
          <w:szCs w:val="22"/>
        </w:rPr>
        <w:t xml:space="preserve">as large parts of it are based on public expenditure </w:t>
      </w:r>
      <w:r>
        <w:rPr>
          <w:sz w:val="22"/>
          <w:szCs w:val="22"/>
        </w:rPr>
        <w:t>and the</w:t>
      </w:r>
      <w:r w:rsidR="00606511" w:rsidRPr="00606511">
        <w:rPr>
          <w:sz w:val="22"/>
          <w:szCs w:val="22"/>
        </w:rPr>
        <w:t xml:space="preserve"> ‘gold route’ is not the only way towards OA. </w:t>
      </w:r>
    </w:p>
    <w:p w:rsidR="00DE41F0" w:rsidRPr="003C02E1" w:rsidRDefault="00DE41F0" w:rsidP="00470D90">
      <w:pPr>
        <w:pStyle w:val="Odstavecseseznamem"/>
        <w:numPr>
          <w:ilvl w:val="0"/>
          <w:numId w:val="2"/>
        </w:numPr>
        <w:jc w:val="both"/>
        <w:rPr>
          <w:sz w:val="22"/>
          <w:szCs w:val="22"/>
        </w:rPr>
      </w:pPr>
      <w:r w:rsidRPr="003C02E1">
        <w:rPr>
          <w:sz w:val="22"/>
          <w:szCs w:val="22"/>
        </w:rPr>
        <w:t xml:space="preserve">For green </w:t>
      </w:r>
      <w:r w:rsidR="003B714D" w:rsidRPr="003C02E1">
        <w:rPr>
          <w:sz w:val="22"/>
          <w:szCs w:val="22"/>
        </w:rPr>
        <w:t>OA</w:t>
      </w:r>
      <w:r w:rsidRPr="003C02E1">
        <w:rPr>
          <w:sz w:val="22"/>
          <w:szCs w:val="22"/>
        </w:rPr>
        <w:t>: in each country that has not yet adopted a law limiting embargo period</w:t>
      </w:r>
      <w:r w:rsidR="00875ED4">
        <w:rPr>
          <w:sz w:val="22"/>
          <w:szCs w:val="22"/>
        </w:rPr>
        <w:t>s</w:t>
      </w:r>
      <w:r w:rsidRPr="003C02E1">
        <w:rPr>
          <w:sz w:val="22"/>
          <w:szCs w:val="22"/>
        </w:rPr>
        <w:t>,</w:t>
      </w:r>
      <w:r w:rsidR="003B714D" w:rsidRPr="003C02E1">
        <w:rPr>
          <w:sz w:val="22"/>
          <w:szCs w:val="22"/>
        </w:rPr>
        <w:t xml:space="preserve"> measures should be taken to ensure the establishment of embargo periods in accordance with the recommendations of the European Commission (6 months for STEM; 12 months for SSH)</w:t>
      </w:r>
      <w:r w:rsidR="00591E93" w:rsidRPr="003C02E1">
        <w:rPr>
          <w:sz w:val="22"/>
          <w:szCs w:val="22"/>
        </w:rPr>
        <w:t>.</w:t>
      </w:r>
    </w:p>
    <w:p w:rsidR="006E5B67" w:rsidRDefault="00DE41F0" w:rsidP="006E5B67">
      <w:pPr>
        <w:pStyle w:val="Odstavecseseznamem"/>
        <w:numPr>
          <w:ilvl w:val="0"/>
          <w:numId w:val="2"/>
        </w:numPr>
        <w:jc w:val="both"/>
        <w:rPr>
          <w:sz w:val="22"/>
          <w:szCs w:val="22"/>
        </w:rPr>
      </w:pPr>
      <w:r w:rsidRPr="006E5B67">
        <w:rPr>
          <w:sz w:val="22"/>
          <w:szCs w:val="22"/>
        </w:rPr>
        <w:t xml:space="preserve">For gold </w:t>
      </w:r>
      <w:r w:rsidR="003B714D" w:rsidRPr="006E5B67">
        <w:rPr>
          <w:sz w:val="22"/>
          <w:szCs w:val="22"/>
        </w:rPr>
        <w:t>OA</w:t>
      </w:r>
      <w:r w:rsidRPr="007941A6">
        <w:rPr>
          <w:sz w:val="22"/>
          <w:szCs w:val="22"/>
        </w:rPr>
        <w:t xml:space="preserve">: more transparency on </w:t>
      </w:r>
      <w:r w:rsidR="00862CFD" w:rsidRPr="006E5B67">
        <w:rPr>
          <w:sz w:val="22"/>
          <w:szCs w:val="22"/>
        </w:rPr>
        <w:t xml:space="preserve">overall </w:t>
      </w:r>
      <w:r w:rsidR="004B23A0" w:rsidRPr="006E5B67">
        <w:rPr>
          <w:sz w:val="22"/>
          <w:szCs w:val="22"/>
        </w:rPr>
        <w:t xml:space="preserve">and disaggregated </w:t>
      </w:r>
      <w:r w:rsidR="00862CFD" w:rsidRPr="006E5B67">
        <w:rPr>
          <w:sz w:val="22"/>
          <w:szCs w:val="22"/>
        </w:rPr>
        <w:t xml:space="preserve">costs for </w:t>
      </w:r>
      <w:r w:rsidR="002956C8" w:rsidRPr="006E5B67">
        <w:rPr>
          <w:sz w:val="22"/>
          <w:szCs w:val="22"/>
        </w:rPr>
        <w:t xml:space="preserve">and the composition of </w:t>
      </w:r>
      <w:r w:rsidRPr="006E5B67">
        <w:rPr>
          <w:sz w:val="22"/>
          <w:szCs w:val="22"/>
        </w:rPr>
        <w:t>A</w:t>
      </w:r>
      <w:r w:rsidR="00862CFD" w:rsidRPr="006E5B67">
        <w:rPr>
          <w:sz w:val="22"/>
          <w:szCs w:val="22"/>
        </w:rPr>
        <w:t xml:space="preserve">rticle </w:t>
      </w:r>
      <w:r w:rsidRPr="006E5B67">
        <w:rPr>
          <w:sz w:val="22"/>
          <w:szCs w:val="22"/>
        </w:rPr>
        <w:t>P</w:t>
      </w:r>
      <w:r w:rsidR="00862CFD" w:rsidRPr="006E5B67">
        <w:rPr>
          <w:sz w:val="22"/>
          <w:szCs w:val="22"/>
        </w:rPr>
        <w:t xml:space="preserve">rocessing </w:t>
      </w:r>
      <w:r w:rsidRPr="006E5B67">
        <w:rPr>
          <w:sz w:val="22"/>
          <w:szCs w:val="22"/>
        </w:rPr>
        <w:t>C</w:t>
      </w:r>
      <w:r w:rsidR="00862CFD" w:rsidRPr="006E5B67">
        <w:rPr>
          <w:sz w:val="22"/>
          <w:szCs w:val="22"/>
        </w:rPr>
        <w:t>harges (APCs)</w:t>
      </w:r>
      <w:r w:rsidRPr="006E5B67">
        <w:rPr>
          <w:sz w:val="22"/>
          <w:szCs w:val="22"/>
        </w:rPr>
        <w:t xml:space="preserve"> is needed, by </w:t>
      </w:r>
      <w:r w:rsidR="00943310" w:rsidRPr="006E5B67">
        <w:rPr>
          <w:sz w:val="22"/>
          <w:szCs w:val="22"/>
        </w:rPr>
        <w:t>putting</w:t>
      </w:r>
      <w:r w:rsidRPr="006E5B67">
        <w:rPr>
          <w:sz w:val="22"/>
          <w:szCs w:val="22"/>
        </w:rPr>
        <w:t xml:space="preserve"> pressure on publishers. Moreover, it is also necessary, at both institutional and</w:t>
      </w:r>
      <w:r w:rsidR="003B714D" w:rsidRPr="006E5B67">
        <w:rPr>
          <w:sz w:val="22"/>
          <w:szCs w:val="22"/>
        </w:rPr>
        <w:t xml:space="preserve"> </w:t>
      </w:r>
      <w:r w:rsidR="002956C8" w:rsidRPr="006E5B67">
        <w:rPr>
          <w:sz w:val="22"/>
          <w:szCs w:val="22"/>
        </w:rPr>
        <w:t xml:space="preserve">collective (e. g. </w:t>
      </w:r>
      <w:r w:rsidR="00CE1EDB" w:rsidRPr="006E5B67">
        <w:rPr>
          <w:sz w:val="22"/>
          <w:szCs w:val="22"/>
        </w:rPr>
        <w:t xml:space="preserve">regional, </w:t>
      </w:r>
      <w:r w:rsidR="003B714D" w:rsidRPr="006E5B67">
        <w:rPr>
          <w:sz w:val="22"/>
          <w:szCs w:val="22"/>
        </w:rPr>
        <w:t>national</w:t>
      </w:r>
      <w:r w:rsidR="00CE1EDB" w:rsidRPr="006E5B67">
        <w:rPr>
          <w:sz w:val="22"/>
          <w:szCs w:val="22"/>
        </w:rPr>
        <w:t>)</w:t>
      </w:r>
      <w:r w:rsidR="003B714D" w:rsidRPr="006E5B67">
        <w:rPr>
          <w:sz w:val="22"/>
          <w:szCs w:val="22"/>
        </w:rPr>
        <w:t xml:space="preserve"> level, to know and control</w:t>
      </w:r>
      <w:r w:rsidRPr="006E5B67">
        <w:rPr>
          <w:sz w:val="22"/>
          <w:szCs w:val="22"/>
        </w:rPr>
        <w:t xml:space="preserve"> expenses</w:t>
      </w:r>
      <w:r w:rsidR="003B714D" w:rsidRPr="006E5B67">
        <w:rPr>
          <w:sz w:val="22"/>
          <w:szCs w:val="22"/>
        </w:rPr>
        <w:t xml:space="preserve"> </w:t>
      </w:r>
      <w:r w:rsidR="00862CFD" w:rsidRPr="006E5B67">
        <w:rPr>
          <w:sz w:val="22"/>
          <w:szCs w:val="22"/>
        </w:rPr>
        <w:t>of</w:t>
      </w:r>
      <w:r w:rsidR="003B714D" w:rsidRPr="006E5B67">
        <w:rPr>
          <w:sz w:val="22"/>
          <w:szCs w:val="22"/>
        </w:rPr>
        <w:t xml:space="preserve"> APCs.</w:t>
      </w:r>
      <w:r w:rsidR="00606511" w:rsidRPr="006E5B67">
        <w:rPr>
          <w:sz w:val="22"/>
          <w:szCs w:val="22"/>
        </w:rPr>
        <w:t xml:space="preserve"> The evolution of the market for ‘gold OA’ is very uncertain as </w:t>
      </w:r>
      <w:r w:rsidR="002D723A" w:rsidRPr="006E5B67">
        <w:rPr>
          <w:sz w:val="22"/>
          <w:szCs w:val="22"/>
        </w:rPr>
        <w:t xml:space="preserve">an </w:t>
      </w:r>
      <w:r w:rsidR="00606511" w:rsidRPr="006E5B67">
        <w:rPr>
          <w:sz w:val="22"/>
          <w:szCs w:val="22"/>
        </w:rPr>
        <w:t xml:space="preserve">increase in costs </w:t>
      </w:r>
      <w:r w:rsidR="00C17625" w:rsidRPr="006E5B67">
        <w:rPr>
          <w:sz w:val="22"/>
          <w:szCs w:val="22"/>
        </w:rPr>
        <w:t>can be</w:t>
      </w:r>
      <w:r w:rsidR="00606511" w:rsidRPr="006E5B67">
        <w:rPr>
          <w:sz w:val="22"/>
          <w:szCs w:val="22"/>
        </w:rPr>
        <w:t xml:space="preserve"> expected.</w:t>
      </w:r>
      <w:r w:rsidR="00C17625" w:rsidRPr="006E5B67">
        <w:rPr>
          <w:sz w:val="22"/>
          <w:szCs w:val="22"/>
        </w:rPr>
        <w:t xml:space="preserve"> </w:t>
      </w:r>
    </w:p>
    <w:p w:rsidR="00DE41F0" w:rsidRPr="006E5B67" w:rsidRDefault="00C17625" w:rsidP="006E5B67">
      <w:pPr>
        <w:pStyle w:val="Odstavecseseznamem"/>
        <w:numPr>
          <w:ilvl w:val="0"/>
          <w:numId w:val="2"/>
        </w:numPr>
        <w:jc w:val="both"/>
        <w:rPr>
          <w:sz w:val="22"/>
          <w:szCs w:val="22"/>
        </w:rPr>
      </w:pPr>
      <w:r w:rsidRPr="006E5B67">
        <w:rPr>
          <w:sz w:val="22"/>
          <w:szCs w:val="22"/>
        </w:rPr>
        <w:t>T</w:t>
      </w:r>
      <w:r w:rsidR="00BD0E3E" w:rsidRPr="007941A6">
        <w:rPr>
          <w:sz w:val="22"/>
          <w:szCs w:val="22"/>
        </w:rPr>
        <w:t>he university sector should</w:t>
      </w:r>
      <w:r w:rsidRPr="006E5B67">
        <w:rPr>
          <w:sz w:val="22"/>
          <w:szCs w:val="22"/>
        </w:rPr>
        <w:t xml:space="preserve"> strive for budget-neutral solutions.</w:t>
      </w:r>
      <w:r w:rsidR="0003515C" w:rsidRPr="006E5B67">
        <w:rPr>
          <w:sz w:val="22"/>
          <w:szCs w:val="22"/>
        </w:rPr>
        <w:t xml:space="preserve"> In addition, it is critical to ensure that articles published in open access journals are freely accessible for the readers and that the re-use of their content is permitted. </w:t>
      </w:r>
    </w:p>
    <w:p w:rsidR="00275DF9" w:rsidRDefault="00275DF9" w:rsidP="00606511">
      <w:pPr>
        <w:pStyle w:val="Odstavecseseznamem"/>
        <w:jc w:val="both"/>
        <w:rPr>
          <w:sz w:val="22"/>
          <w:szCs w:val="22"/>
        </w:rPr>
      </w:pPr>
    </w:p>
    <w:p w:rsidR="00CE2C94" w:rsidRPr="00606511" w:rsidRDefault="00CE2C94" w:rsidP="00606511">
      <w:pPr>
        <w:pStyle w:val="Odstavecseseznamem"/>
        <w:jc w:val="both"/>
        <w:rPr>
          <w:sz w:val="22"/>
          <w:szCs w:val="22"/>
        </w:rPr>
      </w:pPr>
    </w:p>
    <w:p w:rsidR="00DE41F0" w:rsidRDefault="00DE41F0" w:rsidP="00470D90">
      <w:pPr>
        <w:pStyle w:val="Odstavecseseznamem"/>
        <w:numPr>
          <w:ilvl w:val="0"/>
          <w:numId w:val="1"/>
        </w:numPr>
        <w:jc w:val="both"/>
        <w:rPr>
          <w:b/>
          <w:sz w:val="22"/>
          <w:szCs w:val="22"/>
        </w:rPr>
      </w:pPr>
      <w:r w:rsidRPr="003C02E1">
        <w:rPr>
          <w:b/>
          <w:sz w:val="22"/>
          <w:szCs w:val="22"/>
        </w:rPr>
        <w:t>Institutional development of OA</w:t>
      </w:r>
    </w:p>
    <w:p w:rsidR="00D61452" w:rsidRDefault="00D61452" w:rsidP="00D61452">
      <w:pPr>
        <w:jc w:val="both"/>
        <w:rPr>
          <w:sz w:val="22"/>
          <w:szCs w:val="22"/>
        </w:rPr>
      </w:pPr>
    </w:p>
    <w:p w:rsidR="00C4644F" w:rsidRPr="00D61452" w:rsidRDefault="00C4644F" w:rsidP="00D61452">
      <w:pPr>
        <w:jc w:val="both"/>
        <w:rPr>
          <w:sz w:val="22"/>
          <w:szCs w:val="22"/>
        </w:rPr>
      </w:pPr>
      <w:r w:rsidRPr="00DF6C4E">
        <w:rPr>
          <w:sz w:val="22"/>
          <w:szCs w:val="22"/>
        </w:rPr>
        <w:t>Institutional leaders should have an active role in leading the transition of the current publishing system to a full OA system. Institu</w:t>
      </w:r>
      <w:r w:rsidR="00EC4FE8">
        <w:rPr>
          <w:sz w:val="22"/>
          <w:szCs w:val="22"/>
        </w:rPr>
        <w:t>tions</w:t>
      </w:r>
      <w:r>
        <w:rPr>
          <w:sz w:val="22"/>
          <w:szCs w:val="22"/>
        </w:rPr>
        <w:t xml:space="preserve"> and their leaders need</w:t>
      </w:r>
      <w:r w:rsidRPr="00DF6C4E">
        <w:rPr>
          <w:sz w:val="22"/>
          <w:szCs w:val="22"/>
        </w:rPr>
        <w:t xml:space="preserve"> to promote OA</w:t>
      </w:r>
      <w:r>
        <w:rPr>
          <w:sz w:val="22"/>
          <w:szCs w:val="22"/>
        </w:rPr>
        <w:t>:</w:t>
      </w:r>
    </w:p>
    <w:p w:rsidR="00C4644F" w:rsidRDefault="00C4644F" w:rsidP="00F21700">
      <w:pPr>
        <w:pStyle w:val="Odstavecseseznamem"/>
        <w:jc w:val="both"/>
        <w:rPr>
          <w:sz w:val="22"/>
          <w:szCs w:val="22"/>
        </w:rPr>
      </w:pPr>
    </w:p>
    <w:p w:rsidR="00C4644F" w:rsidRDefault="00C4644F" w:rsidP="00F21700">
      <w:pPr>
        <w:pStyle w:val="Odstavecseseznamem"/>
        <w:numPr>
          <w:ilvl w:val="0"/>
          <w:numId w:val="7"/>
        </w:numPr>
        <w:jc w:val="both"/>
        <w:rPr>
          <w:sz w:val="22"/>
          <w:szCs w:val="22"/>
        </w:rPr>
      </w:pPr>
      <w:r w:rsidRPr="00DF6C4E">
        <w:rPr>
          <w:sz w:val="22"/>
          <w:szCs w:val="22"/>
        </w:rPr>
        <w:t>By developing and/or linking platforms for the open presentation of publications, for each institution or groups of institutions (open institutional repositories) and at national, European and/or worldwide levels</w:t>
      </w:r>
      <w:r>
        <w:rPr>
          <w:sz w:val="22"/>
          <w:szCs w:val="22"/>
        </w:rPr>
        <w:t>;</w:t>
      </w:r>
    </w:p>
    <w:p w:rsidR="00C4644F" w:rsidRPr="00BE38D7" w:rsidRDefault="00C4644F" w:rsidP="00F21700">
      <w:pPr>
        <w:pStyle w:val="Odstavecseseznamem"/>
        <w:numPr>
          <w:ilvl w:val="0"/>
          <w:numId w:val="7"/>
        </w:numPr>
        <w:jc w:val="both"/>
        <w:rPr>
          <w:sz w:val="22"/>
          <w:szCs w:val="22"/>
        </w:rPr>
      </w:pPr>
      <w:r w:rsidRPr="00F21700">
        <w:rPr>
          <w:sz w:val="22"/>
          <w:szCs w:val="22"/>
        </w:rPr>
        <w:t>By developing and implementing institutional policies on OA and thereby creating a nurturing environment for OA to research publications and to research data, in which OA activities are properly recognised</w:t>
      </w:r>
      <w:r w:rsidR="00BE38D7">
        <w:rPr>
          <w:sz w:val="22"/>
          <w:szCs w:val="22"/>
        </w:rPr>
        <w:t>;</w:t>
      </w:r>
    </w:p>
    <w:p w:rsidR="00C4644F" w:rsidRDefault="00C4644F" w:rsidP="00F21700">
      <w:pPr>
        <w:pStyle w:val="Odstavecseseznamem"/>
        <w:numPr>
          <w:ilvl w:val="0"/>
          <w:numId w:val="7"/>
        </w:numPr>
        <w:jc w:val="both"/>
        <w:rPr>
          <w:sz w:val="22"/>
          <w:szCs w:val="22"/>
        </w:rPr>
      </w:pPr>
      <w:r w:rsidRPr="00DF6C4E">
        <w:rPr>
          <w:sz w:val="22"/>
          <w:szCs w:val="22"/>
        </w:rPr>
        <w:t>By incentivising researchers to publish in OA, including compliance measures with institutional, national and/or European policies</w:t>
      </w:r>
      <w:r>
        <w:rPr>
          <w:sz w:val="22"/>
          <w:szCs w:val="22"/>
        </w:rPr>
        <w:t>.</w:t>
      </w:r>
    </w:p>
    <w:p w:rsidR="006C3778" w:rsidRDefault="006C3778" w:rsidP="00EF5C49">
      <w:pPr>
        <w:pStyle w:val="Odstavecseseznamem"/>
      </w:pPr>
    </w:p>
    <w:p w:rsidR="00606511" w:rsidRPr="003C02E1" w:rsidRDefault="00606511" w:rsidP="00470D90">
      <w:pPr>
        <w:jc w:val="both"/>
        <w:rPr>
          <w:sz w:val="22"/>
          <w:szCs w:val="22"/>
        </w:rPr>
      </w:pPr>
    </w:p>
    <w:p w:rsidR="003D4255" w:rsidRDefault="003D4255" w:rsidP="00470D90">
      <w:pPr>
        <w:pStyle w:val="Odstavecseseznamem"/>
        <w:numPr>
          <w:ilvl w:val="0"/>
          <w:numId w:val="1"/>
        </w:numPr>
        <w:jc w:val="both"/>
        <w:rPr>
          <w:b/>
          <w:sz w:val="22"/>
          <w:szCs w:val="22"/>
        </w:rPr>
      </w:pPr>
      <w:r w:rsidRPr="00C17625">
        <w:rPr>
          <w:b/>
          <w:sz w:val="22"/>
          <w:szCs w:val="22"/>
        </w:rPr>
        <w:t>Mobilisation of researchers</w:t>
      </w:r>
    </w:p>
    <w:p w:rsidR="003D4255" w:rsidRDefault="003D4255" w:rsidP="00CD169A">
      <w:pPr>
        <w:pStyle w:val="Odstavecseseznamem"/>
        <w:jc w:val="both"/>
        <w:rPr>
          <w:b/>
          <w:sz w:val="22"/>
          <w:szCs w:val="22"/>
        </w:rPr>
      </w:pPr>
    </w:p>
    <w:p w:rsidR="003D4255" w:rsidRDefault="003D4255" w:rsidP="00CD169A">
      <w:pPr>
        <w:jc w:val="both"/>
        <w:rPr>
          <w:sz w:val="22"/>
          <w:szCs w:val="22"/>
        </w:rPr>
      </w:pPr>
      <w:r w:rsidRPr="00CE2C94">
        <w:rPr>
          <w:sz w:val="22"/>
          <w:szCs w:val="22"/>
        </w:rPr>
        <w:t>Furthermore, achieving full OA requires the mobilisation of researchers’ communities at large. This should be based on novel models for research and career assessment. It needs to include robust incentive systems and it is necessary to ensure a quick transition and take-up of OA across disciplines.</w:t>
      </w:r>
    </w:p>
    <w:p w:rsidR="003D4255" w:rsidRDefault="003D4255" w:rsidP="00CD169A">
      <w:pPr>
        <w:jc w:val="both"/>
        <w:rPr>
          <w:sz w:val="22"/>
          <w:szCs w:val="22"/>
        </w:rPr>
      </w:pPr>
    </w:p>
    <w:p w:rsidR="003D4255" w:rsidRDefault="003D4255" w:rsidP="00CD169A">
      <w:pPr>
        <w:jc w:val="both"/>
        <w:rPr>
          <w:b/>
          <w:sz w:val="22"/>
          <w:szCs w:val="22"/>
        </w:rPr>
      </w:pPr>
    </w:p>
    <w:p w:rsidR="00D23877" w:rsidRDefault="00D23877" w:rsidP="00CD169A">
      <w:pPr>
        <w:jc w:val="both"/>
        <w:rPr>
          <w:b/>
          <w:sz w:val="22"/>
          <w:szCs w:val="22"/>
        </w:rPr>
      </w:pPr>
    </w:p>
    <w:p w:rsidR="00D23877" w:rsidRDefault="00D23877" w:rsidP="00CD169A">
      <w:pPr>
        <w:jc w:val="both"/>
        <w:rPr>
          <w:b/>
          <w:sz w:val="22"/>
          <w:szCs w:val="22"/>
        </w:rPr>
      </w:pPr>
    </w:p>
    <w:p w:rsidR="00D23877" w:rsidRPr="00CD169A" w:rsidRDefault="00D23877" w:rsidP="00CD169A">
      <w:pPr>
        <w:jc w:val="both"/>
        <w:rPr>
          <w:b/>
          <w:sz w:val="22"/>
          <w:szCs w:val="22"/>
        </w:rPr>
      </w:pPr>
    </w:p>
    <w:p w:rsidR="006C30FA" w:rsidRPr="009921BB" w:rsidRDefault="006C30FA" w:rsidP="00CD169A">
      <w:pPr>
        <w:pStyle w:val="Odstavecseseznamem"/>
        <w:numPr>
          <w:ilvl w:val="0"/>
          <w:numId w:val="1"/>
        </w:numPr>
        <w:jc w:val="both"/>
        <w:rPr>
          <w:b/>
          <w:sz w:val="22"/>
          <w:szCs w:val="22"/>
        </w:rPr>
      </w:pPr>
      <w:r>
        <w:rPr>
          <w:b/>
          <w:sz w:val="22"/>
          <w:szCs w:val="22"/>
        </w:rPr>
        <w:t>Evaluation system</w:t>
      </w:r>
    </w:p>
    <w:p w:rsidR="006C30FA" w:rsidRDefault="006C30FA" w:rsidP="006C30FA">
      <w:pPr>
        <w:jc w:val="both"/>
        <w:rPr>
          <w:b/>
          <w:sz w:val="22"/>
          <w:szCs w:val="22"/>
        </w:rPr>
      </w:pPr>
    </w:p>
    <w:p w:rsidR="003D4255" w:rsidRDefault="006C30FA" w:rsidP="00CD169A">
      <w:pPr>
        <w:jc w:val="both"/>
        <w:rPr>
          <w:sz w:val="22"/>
          <w:szCs w:val="22"/>
        </w:rPr>
      </w:pPr>
      <w:r w:rsidRPr="00CD169A">
        <w:rPr>
          <w:sz w:val="22"/>
          <w:szCs w:val="22"/>
        </w:rPr>
        <w:t>In researchers’ assessment, metrics (e.g. number of publications, journal impact factors) should not replace a meaningful, qualitative, evaluation of an individual’s work. In the transition for an open publishing system, researchers should get appropriate recognition for their open access and open science practices. This recognition should be reflected in both the evaluation of research funding proposals and research outcomes. In addition, activities such as reviewing, evaluating, curating and managing research data, as well as sharing data and developing open resources, should be explicitly and directly rewarded in the framework of researchers’ evaluation. Universities are committed to safeguarding the career possibilities of researchers in an open publishing system.</w:t>
      </w:r>
    </w:p>
    <w:p w:rsidR="006C30FA" w:rsidRDefault="006C30FA" w:rsidP="00CD169A">
      <w:pPr>
        <w:jc w:val="both"/>
        <w:rPr>
          <w:sz w:val="22"/>
          <w:szCs w:val="22"/>
        </w:rPr>
      </w:pPr>
    </w:p>
    <w:p w:rsidR="006C30FA" w:rsidRDefault="006C30FA" w:rsidP="00CD169A">
      <w:pPr>
        <w:jc w:val="both"/>
        <w:rPr>
          <w:sz w:val="22"/>
          <w:szCs w:val="22"/>
        </w:rPr>
      </w:pPr>
    </w:p>
    <w:p w:rsidR="006C30FA" w:rsidRDefault="006C30FA" w:rsidP="006C30FA">
      <w:pPr>
        <w:pStyle w:val="Odstavecseseznamem"/>
        <w:numPr>
          <w:ilvl w:val="0"/>
          <w:numId w:val="1"/>
        </w:numPr>
        <w:jc w:val="both"/>
        <w:rPr>
          <w:b/>
          <w:sz w:val="22"/>
          <w:szCs w:val="22"/>
        </w:rPr>
      </w:pPr>
      <w:r w:rsidRPr="003C02E1">
        <w:rPr>
          <w:b/>
          <w:sz w:val="22"/>
          <w:szCs w:val="22"/>
        </w:rPr>
        <w:t>Human resources</w:t>
      </w:r>
    </w:p>
    <w:p w:rsidR="006C30FA" w:rsidRPr="00D61452" w:rsidRDefault="006C30FA" w:rsidP="006C30FA">
      <w:pPr>
        <w:jc w:val="both"/>
        <w:rPr>
          <w:sz w:val="22"/>
          <w:szCs w:val="22"/>
        </w:rPr>
      </w:pPr>
    </w:p>
    <w:p w:rsidR="006C30FA" w:rsidRPr="003C02E1" w:rsidRDefault="006C30FA" w:rsidP="006C30FA">
      <w:pPr>
        <w:jc w:val="both"/>
        <w:rPr>
          <w:sz w:val="22"/>
          <w:szCs w:val="22"/>
        </w:rPr>
      </w:pPr>
      <w:r>
        <w:rPr>
          <w:sz w:val="22"/>
          <w:szCs w:val="22"/>
        </w:rPr>
        <w:t xml:space="preserve">A policy on open access to research outcomes must enable the career of researchers. </w:t>
      </w:r>
      <w:r w:rsidRPr="003C02E1">
        <w:rPr>
          <w:sz w:val="22"/>
          <w:szCs w:val="22"/>
        </w:rPr>
        <w:t>The development of an active policy favourable to open access to research outcomes requires an increase in the competences at both university and country levels:</w:t>
      </w:r>
    </w:p>
    <w:p w:rsidR="006C30FA" w:rsidRPr="003C02E1" w:rsidRDefault="006C30FA" w:rsidP="006C30FA">
      <w:pPr>
        <w:pStyle w:val="Odstavecseseznamem"/>
        <w:numPr>
          <w:ilvl w:val="0"/>
          <w:numId w:val="5"/>
        </w:numPr>
        <w:jc w:val="both"/>
        <w:rPr>
          <w:sz w:val="22"/>
          <w:szCs w:val="22"/>
        </w:rPr>
      </w:pPr>
      <w:r w:rsidRPr="003C02E1">
        <w:rPr>
          <w:sz w:val="22"/>
          <w:szCs w:val="22"/>
        </w:rPr>
        <w:t>In negotiations</w:t>
      </w:r>
    </w:p>
    <w:p w:rsidR="006C30FA" w:rsidRPr="003C02E1" w:rsidRDefault="006C30FA" w:rsidP="006C30FA">
      <w:pPr>
        <w:pStyle w:val="Odstavecseseznamem"/>
        <w:numPr>
          <w:ilvl w:val="0"/>
          <w:numId w:val="5"/>
        </w:numPr>
        <w:jc w:val="both"/>
        <w:rPr>
          <w:sz w:val="22"/>
          <w:szCs w:val="22"/>
        </w:rPr>
      </w:pPr>
      <w:r w:rsidRPr="003C02E1">
        <w:rPr>
          <w:sz w:val="22"/>
          <w:szCs w:val="22"/>
        </w:rPr>
        <w:t>In legal matters (copyright, data property)</w:t>
      </w:r>
    </w:p>
    <w:p w:rsidR="006C30FA" w:rsidRPr="003C02E1" w:rsidRDefault="006C30FA" w:rsidP="006C30FA">
      <w:pPr>
        <w:pStyle w:val="Odstavecseseznamem"/>
        <w:numPr>
          <w:ilvl w:val="0"/>
          <w:numId w:val="5"/>
        </w:numPr>
        <w:jc w:val="both"/>
        <w:rPr>
          <w:sz w:val="22"/>
          <w:szCs w:val="22"/>
        </w:rPr>
      </w:pPr>
      <w:r w:rsidRPr="003C02E1">
        <w:rPr>
          <w:sz w:val="22"/>
          <w:szCs w:val="22"/>
        </w:rPr>
        <w:t>In the management of platforms (access, security, application development)</w:t>
      </w:r>
    </w:p>
    <w:p w:rsidR="006C30FA" w:rsidRDefault="006C30FA" w:rsidP="006C30FA">
      <w:pPr>
        <w:pStyle w:val="Odstavecseseznamem"/>
        <w:numPr>
          <w:ilvl w:val="0"/>
          <w:numId w:val="5"/>
        </w:numPr>
        <w:jc w:val="both"/>
        <w:rPr>
          <w:sz w:val="22"/>
          <w:szCs w:val="22"/>
        </w:rPr>
      </w:pPr>
      <w:r w:rsidRPr="003C02E1">
        <w:rPr>
          <w:sz w:val="22"/>
          <w:szCs w:val="22"/>
        </w:rPr>
        <w:t>In the management of research data</w:t>
      </w:r>
    </w:p>
    <w:p w:rsidR="006C30FA" w:rsidRPr="00CD169A" w:rsidRDefault="006C30FA" w:rsidP="00CD169A">
      <w:pPr>
        <w:pStyle w:val="Odstavecseseznamem"/>
        <w:numPr>
          <w:ilvl w:val="0"/>
          <w:numId w:val="5"/>
        </w:numPr>
        <w:jc w:val="both"/>
        <w:rPr>
          <w:b/>
          <w:sz w:val="22"/>
          <w:szCs w:val="22"/>
        </w:rPr>
      </w:pPr>
      <w:r w:rsidRPr="00CD169A">
        <w:rPr>
          <w:sz w:val="22"/>
          <w:szCs w:val="22"/>
        </w:rPr>
        <w:t>In training researchers, students and university staff in general</w:t>
      </w:r>
    </w:p>
    <w:p w:rsidR="003D4255" w:rsidRDefault="003D4255" w:rsidP="00CD169A">
      <w:pPr>
        <w:jc w:val="both"/>
        <w:rPr>
          <w:b/>
          <w:sz w:val="22"/>
          <w:szCs w:val="22"/>
        </w:rPr>
      </w:pPr>
    </w:p>
    <w:p w:rsidR="00B8513A" w:rsidRDefault="00B8513A" w:rsidP="00B8513A">
      <w:pPr>
        <w:pStyle w:val="Odstavecseseznamem"/>
        <w:numPr>
          <w:ilvl w:val="0"/>
          <w:numId w:val="1"/>
        </w:numPr>
        <w:jc w:val="both"/>
        <w:rPr>
          <w:b/>
          <w:sz w:val="22"/>
          <w:szCs w:val="22"/>
        </w:rPr>
      </w:pPr>
      <w:r w:rsidRPr="003C02E1">
        <w:rPr>
          <w:b/>
          <w:sz w:val="22"/>
          <w:szCs w:val="22"/>
        </w:rPr>
        <w:t>Research Data</w:t>
      </w:r>
    </w:p>
    <w:p w:rsidR="00B8513A" w:rsidRPr="00D61452" w:rsidRDefault="00B8513A" w:rsidP="00B8513A">
      <w:pPr>
        <w:jc w:val="both"/>
        <w:rPr>
          <w:sz w:val="22"/>
          <w:szCs w:val="22"/>
        </w:rPr>
      </w:pPr>
    </w:p>
    <w:p w:rsidR="00B8513A" w:rsidRDefault="00B8513A" w:rsidP="00B8513A">
      <w:pPr>
        <w:pStyle w:val="Odstavecseseznamem"/>
        <w:numPr>
          <w:ilvl w:val="0"/>
          <w:numId w:val="5"/>
        </w:numPr>
        <w:jc w:val="both"/>
        <w:rPr>
          <w:sz w:val="22"/>
          <w:szCs w:val="22"/>
        </w:rPr>
      </w:pPr>
      <w:r w:rsidRPr="003C02E1">
        <w:rPr>
          <w:sz w:val="22"/>
          <w:szCs w:val="22"/>
        </w:rPr>
        <w:t>Establish an institutional policy for the management of research data (validation, conservation, availability).</w:t>
      </w:r>
    </w:p>
    <w:p w:rsidR="00B8513A" w:rsidRPr="00CE2C94" w:rsidRDefault="00B8513A" w:rsidP="00B8513A">
      <w:pPr>
        <w:pStyle w:val="Odstavecseseznamem"/>
        <w:numPr>
          <w:ilvl w:val="0"/>
          <w:numId w:val="5"/>
        </w:numPr>
        <w:jc w:val="both"/>
        <w:rPr>
          <w:sz w:val="22"/>
          <w:szCs w:val="22"/>
        </w:rPr>
      </w:pPr>
      <w:r w:rsidRPr="00CE2C94">
        <w:rPr>
          <w:sz w:val="22"/>
          <w:szCs w:val="22"/>
        </w:rPr>
        <w:t>Develop clear guidelines and tools for the management, curation of data and metadata.</w:t>
      </w:r>
    </w:p>
    <w:p w:rsidR="00B8513A" w:rsidRPr="00CE2C94" w:rsidRDefault="00B8513A" w:rsidP="00B8513A">
      <w:pPr>
        <w:pStyle w:val="Odstavecseseznamem"/>
        <w:numPr>
          <w:ilvl w:val="0"/>
          <w:numId w:val="5"/>
        </w:numPr>
        <w:jc w:val="both"/>
        <w:rPr>
          <w:sz w:val="22"/>
          <w:szCs w:val="22"/>
        </w:rPr>
      </w:pPr>
      <w:r w:rsidRPr="00CE2C94">
        <w:rPr>
          <w:sz w:val="22"/>
          <w:szCs w:val="22"/>
        </w:rPr>
        <w:t>Develop institutional capacity in research data management (e.g. improving technical and legal knowledge, developing skills in data management and in TDM)</w:t>
      </w:r>
    </w:p>
    <w:p w:rsidR="00B8513A" w:rsidRPr="00CE2C94" w:rsidRDefault="00B8513A" w:rsidP="00B8513A">
      <w:pPr>
        <w:pStyle w:val="Odstavecseseznamem"/>
        <w:numPr>
          <w:ilvl w:val="0"/>
          <w:numId w:val="5"/>
        </w:numPr>
        <w:jc w:val="both"/>
        <w:rPr>
          <w:sz w:val="22"/>
          <w:szCs w:val="22"/>
        </w:rPr>
      </w:pPr>
      <w:r w:rsidRPr="00CE2C94">
        <w:rPr>
          <w:sz w:val="22"/>
          <w:szCs w:val="22"/>
        </w:rPr>
        <w:t xml:space="preserve">Provide legal advice, training and incentives for researchers to deposit their data. </w:t>
      </w:r>
    </w:p>
    <w:p w:rsidR="00B8513A" w:rsidRPr="00CD169A" w:rsidRDefault="00B8513A" w:rsidP="00CD169A">
      <w:pPr>
        <w:pStyle w:val="Odstavecseseznamem"/>
        <w:numPr>
          <w:ilvl w:val="0"/>
          <w:numId w:val="5"/>
        </w:numPr>
        <w:jc w:val="both"/>
        <w:rPr>
          <w:b/>
          <w:sz w:val="22"/>
          <w:szCs w:val="22"/>
        </w:rPr>
      </w:pPr>
      <w:r w:rsidRPr="00CD169A">
        <w:rPr>
          <w:sz w:val="22"/>
          <w:szCs w:val="22"/>
        </w:rPr>
        <w:t>Provide training and incentives for researchers to develop TDM</w:t>
      </w:r>
    </w:p>
    <w:p w:rsidR="003D4255" w:rsidRDefault="003D4255" w:rsidP="00CD169A">
      <w:pPr>
        <w:pStyle w:val="Odstavecseseznamem"/>
        <w:jc w:val="both"/>
        <w:rPr>
          <w:b/>
          <w:sz w:val="22"/>
          <w:szCs w:val="22"/>
        </w:rPr>
      </w:pPr>
    </w:p>
    <w:p w:rsidR="006C3778" w:rsidRDefault="006C3778" w:rsidP="00CD169A">
      <w:pPr>
        <w:pStyle w:val="Odstavecseseznamem"/>
        <w:numPr>
          <w:ilvl w:val="0"/>
          <w:numId w:val="1"/>
        </w:numPr>
        <w:jc w:val="both"/>
        <w:rPr>
          <w:b/>
          <w:sz w:val="22"/>
          <w:szCs w:val="22"/>
        </w:rPr>
      </w:pPr>
      <w:r w:rsidRPr="003C02E1">
        <w:rPr>
          <w:b/>
          <w:sz w:val="22"/>
          <w:szCs w:val="22"/>
        </w:rPr>
        <w:t>Negotiations</w:t>
      </w:r>
      <w:r w:rsidR="00591E93" w:rsidRPr="003C02E1">
        <w:rPr>
          <w:b/>
          <w:sz w:val="22"/>
          <w:szCs w:val="22"/>
        </w:rPr>
        <w:t xml:space="preserve"> of ‘big deals’ with publishers</w:t>
      </w:r>
    </w:p>
    <w:p w:rsidR="00D61452" w:rsidRPr="00D61452" w:rsidRDefault="00D61452" w:rsidP="00D61452">
      <w:pPr>
        <w:jc w:val="both"/>
        <w:rPr>
          <w:sz w:val="22"/>
          <w:szCs w:val="22"/>
        </w:rPr>
      </w:pPr>
    </w:p>
    <w:p w:rsidR="006C3778" w:rsidRPr="003C02E1" w:rsidRDefault="00DF0525" w:rsidP="00470D90">
      <w:pPr>
        <w:pStyle w:val="Odstavecseseznamem"/>
        <w:numPr>
          <w:ilvl w:val="0"/>
          <w:numId w:val="4"/>
        </w:numPr>
        <w:jc w:val="both"/>
        <w:rPr>
          <w:sz w:val="22"/>
          <w:szCs w:val="22"/>
        </w:rPr>
      </w:pPr>
      <w:r>
        <w:rPr>
          <w:sz w:val="22"/>
          <w:szCs w:val="22"/>
        </w:rPr>
        <w:t>During the transition to a full OA system, c</w:t>
      </w:r>
      <w:r w:rsidR="006C3778" w:rsidRPr="003C02E1">
        <w:rPr>
          <w:sz w:val="22"/>
          <w:szCs w:val="22"/>
        </w:rPr>
        <w:t>ombine negotiations of subscriptions and APC-related costs. The APC costs should not only refer to hybrid journals, but to all the APC-related costs at institutional or national level</w:t>
      </w:r>
      <w:r w:rsidR="00591E93" w:rsidRPr="003C02E1">
        <w:rPr>
          <w:sz w:val="22"/>
          <w:szCs w:val="22"/>
        </w:rPr>
        <w:t>.</w:t>
      </w:r>
    </w:p>
    <w:p w:rsidR="006C3778" w:rsidRPr="003C02E1" w:rsidRDefault="0004622B" w:rsidP="00470D90">
      <w:pPr>
        <w:pStyle w:val="Odstavecseseznamem"/>
        <w:numPr>
          <w:ilvl w:val="0"/>
          <w:numId w:val="4"/>
        </w:numPr>
        <w:jc w:val="both"/>
        <w:rPr>
          <w:sz w:val="22"/>
          <w:szCs w:val="22"/>
        </w:rPr>
      </w:pPr>
      <w:r w:rsidRPr="003C02E1">
        <w:rPr>
          <w:sz w:val="22"/>
          <w:szCs w:val="22"/>
        </w:rPr>
        <w:t xml:space="preserve">It is necessary to obtain a non-restricted usage of journals during </w:t>
      </w:r>
      <w:r w:rsidR="00D66738" w:rsidRPr="0058636B">
        <w:rPr>
          <w:sz w:val="22"/>
          <w:szCs w:val="22"/>
        </w:rPr>
        <w:t>and after</w:t>
      </w:r>
      <w:r w:rsidR="00D66738">
        <w:rPr>
          <w:sz w:val="22"/>
          <w:szCs w:val="22"/>
        </w:rPr>
        <w:t xml:space="preserve"> </w:t>
      </w:r>
      <w:r w:rsidRPr="003C02E1">
        <w:rPr>
          <w:sz w:val="22"/>
          <w:szCs w:val="22"/>
        </w:rPr>
        <w:t>the contract period and, eventually, the possibility to transfer copies to a national platform. This is particularly needed in case of a subsequent contract breach</w:t>
      </w:r>
      <w:r w:rsidR="00BD0E3E">
        <w:rPr>
          <w:sz w:val="22"/>
          <w:szCs w:val="22"/>
        </w:rPr>
        <w:t>, takeover or bankruptcy of a publisher</w:t>
      </w:r>
      <w:r w:rsidR="00A44737">
        <w:rPr>
          <w:sz w:val="22"/>
          <w:szCs w:val="22"/>
        </w:rPr>
        <w:t>.</w:t>
      </w:r>
      <w:r w:rsidRPr="003C02E1">
        <w:rPr>
          <w:sz w:val="22"/>
          <w:szCs w:val="22"/>
        </w:rPr>
        <w:t xml:space="preserve"> </w:t>
      </w:r>
      <w:r w:rsidR="00A44737">
        <w:rPr>
          <w:sz w:val="22"/>
          <w:szCs w:val="22"/>
        </w:rPr>
        <w:t>W</w:t>
      </w:r>
      <w:r w:rsidRPr="003C02E1">
        <w:rPr>
          <w:sz w:val="22"/>
          <w:szCs w:val="22"/>
        </w:rPr>
        <w:t xml:space="preserve">ithout these clauses, all </w:t>
      </w:r>
      <w:r w:rsidR="00945463" w:rsidRPr="003C02E1">
        <w:rPr>
          <w:sz w:val="22"/>
          <w:szCs w:val="22"/>
        </w:rPr>
        <w:t xml:space="preserve">previous </w:t>
      </w:r>
      <w:r w:rsidRPr="003C02E1">
        <w:rPr>
          <w:sz w:val="22"/>
          <w:szCs w:val="22"/>
        </w:rPr>
        <w:t>investment could be lost</w:t>
      </w:r>
      <w:r w:rsidR="00591E93" w:rsidRPr="003C02E1">
        <w:rPr>
          <w:sz w:val="22"/>
          <w:szCs w:val="22"/>
        </w:rPr>
        <w:t>.</w:t>
      </w:r>
    </w:p>
    <w:p w:rsidR="00EF01C3" w:rsidRPr="003C02E1" w:rsidRDefault="00EF01C3" w:rsidP="00470D90">
      <w:pPr>
        <w:pStyle w:val="Odstavecseseznamem"/>
        <w:numPr>
          <w:ilvl w:val="0"/>
          <w:numId w:val="4"/>
        </w:numPr>
        <w:jc w:val="both"/>
        <w:rPr>
          <w:sz w:val="22"/>
          <w:szCs w:val="22"/>
        </w:rPr>
      </w:pPr>
      <w:r w:rsidRPr="003C02E1">
        <w:rPr>
          <w:sz w:val="22"/>
          <w:szCs w:val="22"/>
        </w:rPr>
        <w:t xml:space="preserve">The ability to </w:t>
      </w:r>
      <w:r w:rsidR="00862CFD" w:rsidRPr="003C02E1">
        <w:rPr>
          <w:sz w:val="22"/>
          <w:szCs w:val="22"/>
        </w:rPr>
        <w:t>perform</w:t>
      </w:r>
      <w:r w:rsidRPr="003C02E1">
        <w:rPr>
          <w:sz w:val="22"/>
          <w:szCs w:val="22"/>
        </w:rPr>
        <w:t xml:space="preserve"> TDM, using own algorithms, should be guarante</w:t>
      </w:r>
      <w:r w:rsidR="00591E93" w:rsidRPr="003C02E1">
        <w:rPr>
          <w:sz w:val="22"/>
          <w:szCs w:val="22"/>
        </w:rPr>
        <w:t xml:space="preserve">ed for all the articles bought, </w:t>
      </w:r>
      <w:r w:rsidRPr="003C02E1">
        <w:rPr>
          <w:sz w:val="22"/>
          <w:szCs w:val="22"/>
        </w:rPr>
        <w:t xml:space="preserve">i.e. without being restricted to </w:t>
      </w:r>
      <w:r w:rsidR="00253E34" w:rsidRPr="003C02E1">
        <w:rPr>
          <w:sz w:val="22"/>
          <w:szCs w:val="22"/>
        </w:rPr>
        <w:t xml:space="preserve">the </w:t>
      </w:r>
      <w:r w:rsidRPr="003C02E1">
        <w:rPr>
          <w:sz w:val="22"/>
          <w:szCs w:val="22"/>
        </w:rPr>
        <w:t xml:space="preserve">use </w:t>
      </w:r>
      <w:r w:rsidR="002956C8">
        <w:rPr>
          <w:sz w:val="22"/>
          <w:szCs w:val="22"/>
        </w:rPr>
        <w:t>of</w:t>
      </w:r>
      <w:r w:rsidRPr="003C02E1">
        <w:rPr>
          <w:sz w:val="22"/>
          <w:szCs w:val="22"/>
        </w:rPr>
        <w:t xml:space="preserve"> algorithms provided by publishers, namely APIs (</w:t>
      </w:r>
      <w:r w:rsidRPr="003C02E1">
        <w:rPr>
          <w:i/>
          <w:sz w:val="22"/>
          <w:szCs w:val="22"/>
        </w:rPr>
        <w:t>Application Programming Interface</w:t>
      </w:r>
      <w:r w:rsidRPr="003C02E1">
        <w:rPr>
          <w:sz w:val="22"/>
          <w:szCs w:val="22"/>
        </w:rPr>
        <w:t>).</w:t>
      </w:r>
      <w:r w:rsidR="001D45DE">
        <w:rPr>
          <w:sz w:val="22"/>
          <w:szCs w:val="22"/>
        </w:rPr>
        <w:t xml:space="preserve"> Open licenses should, therefore, be actively negotiated. </w:t>
      </w:r>
    </w:p>
    <w:p w:rsidR="0007276B" w:rsidRDefault="0007276B" w:rsidP="00470D90">
      <w:pPr>
        <w:jc w:val="both"/>
        <w:rPr>
          <w:sz w:val="22"/>
          <w:szCs w:val="22"/>
        </w:rPr>
      </w:pPr>
    </w:p>
    <w:p w:rsidR="00DE4CFF" w:rsidRPr="00CE2C94" w:rsidRDefault="00DE4CFF" w:rsidP="00470D90">
      <w:pPr>
        <w:jc w:val="both"/>
        <w:rPr>
          <w:b/>
          <w:sz w:val="22"/>
          <w:szCs w:val="22"/>
        </w:rPr>
      </w:pPr>
    </w:p>
    <w:p w:rsidR="002F08EF" w:rsidRPr="00D23877" w:rsidRDefault="002F08EF" w:rsidP="00470D90">
      <w:pPr>
        <w:jc w:val="both"/>
        <w:rPr>
          <w:sz w:val="22"/>
          <w:szCs w:val="22"/>
        </w:rPr>
      </w:pPr>
    </w:p>
    <w:p w:rsidR="00EF01C3" w:rsidRPr="00993813" w:rsidRDefault="00993813" w:rsidP="00470D90">
      <w:pPr>
        <w:jc w:val="both"/>
        <w:rPr>
          <w:b/>
          <w:sz w:val="28"/>
          <w:szCs w:val="28"/>
        </w:rPr>
      </w:pPr>
      <w:r w:rsidRPr="00993813">
        <w:rPr>
          <w:b/>
          <w:sz w:val="28"/>
          <w:szCs w:val="28"/>
        </w:rPr>
        <w:t>Background</w:t>
      </w:r>
    </w:p>
    <w:p w:rsidR="00993813" w:rsidRDefault="00993813" w:rsidP="00993813">
      <w:pPr>
        <w:jc w:val="both"/>
        <w:rPr>
          <w:sz w:val="22"/>
          <w:szCs w:val="22"/>
        </w:rPr>
      </w:pPr>
    </w:p>
    <w:p w:rsidR="00D825D7" w:rsidRDefault="00993813" w:rsidP="00993813">
      <w:pPr>
        <w:jc w:val="both"/>
        <w:rPr>
          <w:sz w:val="22"/>
          <w:szCs w:val="22"/>
        </w:rPr>
      </w:pPr>
      <w:r w:rsidRPr="00993813">
        <w:rPr>
          <w:sz w:val="22"/>
          <w:szCs w:val="22"/>
        </w:rPr>
        <w:t>The European University Association (EUA) has been monitoring developments in the area of Open Access since 2007. In early 2015</w:t>
      </w:r>
      <w:r>
        <w:rPr>
          <w:sz w:val="22"/>
          <w:szCs w:val="22"/>
        </w:rPr>
        <w:t>,</w:t>
      </w:r>
      <w:r w:rsidRPr="00993813">
        <w:rPr>
          <w:sz w:val="22"/>
          <w:szCs w:val="22"/>
        </w:rPr>
        <w:t xml:space="preserve"> the EUA Council</w:t>
      </w:r>
      <w:r w:rsidR="001D6D92">
        <w:rPr>
          <w:sz w:val="22"/>
          <w:szCs w:val="22"/>
        </w:rPr>
        <w:t>, which is comprised of the President, the members of the Board, and of the presidents of all of Europe’s National Rectors’ Conferences</w:t>
      </w:r>
      <w:r w:rsidR="00FC3D1D">
        <w:rPr>
          <w:sz w:val="22"/>
          <w:szCs w:val="22"/>
        </w:rPr>
        <w:t xml:space="preserve"> (NRCs)</w:t>
      </w:r>
      <w:r w:rsidR="001D6D92">
        <w:rPr>
          <w:sz w:val="22"/>
          <w:szCs w:val="22"/>
        </w:rPr>
        <w:t>,</w:t>
      </w:r>
      <w:r w:rsidRPr="00993813">
        <w:rPr>
          <w:sz w:val="22"/>
          <w:szCs w:val="22"/>
        </w:rPr>
        <w:t xml:space="preserve"> set up an Expert Group on Science 2.0/Open Science, composed of experts designated by the NRCs. The work of the Expert Group is grounded in EUA’s previous activities, namely the </w:t>
      </w:r>
      <w:hyperlink r:id="rId16" w:history="1">
        <w:r w:rsidRPr="00993813">
          <w:rPr>
            <w:rStyle w:val="Hypertextovodkaz"/>
            <w:sz w:val="22"/>
            <w:szCs w:val="22"/>
          </w:rPr>
          <w:t>recommendations on Open Access</w:t>
        </w:r>
      </w:hyperlink>
      <w:r w:rsidRPr="00993813">
        <w:rPr>
          <w:sz w:val="22"/>
          <w:szCs w:val="22"/>
        </w:rPr>
        <w:t xml:space="preserve"> (2008), the Task Force on Open Access (2012), the </w:t>
      </w:r>
      <w:hyperlink r:id="rId17" w:history="1">
        <w:r w:rsidRPr="00993813">
          <w:rPr>
            <w:rStyle w:val="Hypertextovodkaz"/>
            <w:sz w:val="22"/>
            <w:szCs w:val="22"/>
          </w:rPr>
          <w:t>briefing paper on Open Access to research publications</w:t>
        </w:r>
      </w:hyperlink>
      <w:r w:rsidRPr="00993813">
        <w:rPr>
          <w:sz w:val="22"/>
          <w:szCs w:val="22"/>
        </w:rPr>
        <w:t xml:space="preserve"> (2014), </w:t>
      </w:r>
      <w:hyperlink r:id="rId18" w:history="1">
        <w:r w:rsidRPr="00993813">
          <w:rPr>
            <w:rStyle w:val="Hypertextovodkaz"/>
            <w:sz w:val="22"/>
            <w:szCs w:val="22"/>
          </w:rPr>
          <w:t>EUA’s Open Access checklist for universities</w:t>
        </w:r>
      </w:hyperlink>
      <w:r w:rsidRPr="00993813">
        <w:rPr>
          <w:sz w:val="22"/>
          <w:szCs w:val="22"/>
        </w:rPr>
        <w:t xml:space="preserve"> (2015) and the annual Open Access survey (since 2014). </w:t>
      </w:r>
    </w:p>
    <w:p w:rsidR="00993813" w:rsidRPr="00993813" w:rsidRDefault="00993813" w:rsidP="00470D90">
      <w:pPr>
        <w:jc w:val="both"/>
        <w:rPr>
          <w:sz w:val="22"/>
          <w:szCs w:val="22"/>
        </w:rPr>
      </w:pPr>
      <w:r w:rsidRPr="00993813">
        <w:rPr>
          <w:sz w:val="22"/>
          <w:szCs w:val="22"/>
        </w:rPr>
        <w:t xml:space="preserve">The Expert Group focuses on a broad range of issues related to Open Science, such as, Open Access to research publications and data, research infrastructures, researcher assessment and career development, quality of publications, text and data mining (TDM), copyright, data protection </w:t>
      </w:r>
      <w:r>
        <w:rPr>
          <w:sz w:val="22"/>
          <w:szCs w:val="22"/>
        </w:rPr>
        <w:t>and peer-review. Its</w:t>
      </w:r>
      <w:r w:rsidRPr="00993813">
        <w:rPr>
          <w:sz w:val="22"/>
          <w:szCs w:val="22"/>
        </w:rPr>
        <w:t xml:space="preserve"> </w:t>
      </w:r>
      <w:r w:rsidR="00110A40">
        <w:rPr>
          <w:sz w:val="22"/>
          <w:szCs w:val="22"/>
        </w:rPr>
        <w:t>work is guided by</w:t>
      </w:r>
      <w:r w:rsidRPr="00993813">
        <w:rPr>
          <w:sz w:val="22"/>
          <w:szCs w:val="22"/>
        </w:rPr>
        <w:t xml:space="preserve"> </w:t>
      </w:r>
      <w:hyperlink r:id="rId19" w:history="1">
        <w:r w:rsidRPr="00993813">
          <w:rPr>
            <w:rStyle w:val="Hypertextovodkaz"/>
            <w:sz w:val="22"/>
            <w:szCs w:val="22"/>
          </w:rPr>
          <w:t>EUA’s Roadmap on Open Access to Research Publications</w:t>
        </w:r>
      </w:hyperlink>
      <w:r w:rsidR="00110A40">
        <w:rPr>
          <w:sz w:val="22"/>
          <w:szCs w:val="22"/>
        </w:rPr>
        <w:t xml:space="preserve"> and its past activities included, amongst others,</w:t>
      </w:r>
      <w:r w:rsidRPr="00993813">
        <w:rPr>
          <w:sz w:val="22"/>
          <w:szCs w:val="22"/>
        </w:rPr>
        <w:t xml:space="preserve"> a </w:t>
      </w:r>
      <w:hyperlink r:id="rId20" w:history="1">
        <w:r w:rsidRPr="00993813">
          <w:rPr>
            <w:rStyle w:val="Hypertextovodkaz"/>
            <w:sz w:val="22"/>
            <w:szCs w:val="22"/>
          </w:rPr>
          <w:t>statement on the copyright framework</w:t>
        </w:r>
      </w:hyperlink>
      <w:r w:rsidRPr="00993813">
        <w:rPr>
          <w:sz w:val="22"/>
          <w:szCs w:val="22"/>
        </w:rPr>
        <w:t xml:space="preserve"> of the European Commission</w:t>
      </w:r>
      <w:r w:rsidR="00110A40">
        <w:rPr>
          <w:sz w:val="22"/>
          <w:szCs w:val="22"/>
        </w:rPr>
        <w:t xml:space="preserve"> (EC) in February 2016</w:t>
      </w:r>
      <w:r w:rsidR="00D825D7">
        <w:rPr>
          <w:sz w:val="22"/>
          <w:szCs w:val="22"/>
        </w:rPr>
        <w:t>, supporting the San Francisco Declaration on Research Assessment (</w:t>
      </w:r>
      <w:hyperlink r:id="rId21" w:history="1">
        <w:r w:rsidR="00D825D7" w:rsidRPr="00D825D7">
          <w:rPr>
            <w:rStyle w:val="Hypertextovodkaz"/>
            <w:sz w:val="22"/>
            <w:szCs w:val="22"/>
          </w:rPr>
          <w:t>DORA</w:t>
        </w:r>
      </w:hyperlink>
      <w:r w:rsidR="00D825D7">
        <w:rPr>
          <w:sz w:val="22"/>
          <w:szCs w:val="22"/>
        </w:rPr>
        <w:t>)</w:t>
      </w:r>
      <w:r w:rsidR="00110A40">
        <w:rPr>
          <w:sz w:val="22"/>
          <w:szCs w:val="22"/>
        </w:rPr>
        <w:t xml:space="preserve"> and a </w:t>
      </w:r>
      <w:hyperlink r:id="rId22" w:history="1">
        <w:r w:rsidR="00110A40" w:rsidRPr="00110A40">
          <w:rPr>
            <w:rStyle w:val="Hypertextovodkaz"/>
            <w:sz w:val="22"/>
            <w:szCs w:val="22"/>
          </w:rPr>
          <w:t>response</w:t>
        </w:r>
      </w:hyperlink>
      <w:r w:rsidR="00110A40">
        <w:rPr>
          <w:sz w:val="22"/>
          <w:szCs w:val="22"/>
        </w:rPr>
        <w:t xml:space="preserve"> to the EC proposal for a copyright directive in February 2017</w:t>
      </w:r>
      <w:r w:rsidRPr="00993813">
        <w:rPr>
          <w:sz w:val="22"/>
          <w:szCs w:val="22"/>
        </w:rPr>
        <w:t>.</w:t>
      </w:r>
      <w:r w:rsidR="001D6D92">
        <w:rPr>
          <w:sz w:val="22"/>
          <w:szCs w:val="22"/>
        </w:rPr>
        <w:t xml:space="preserve"> The present set of recommendations for OA in 2020 was developed by the Expert Group and validated by the EUA Council.</w:t>
      </w:r>
    </w:p>
    <w:sectPr w:rsidR="00993813" w:rsidRPr="00993813" w:rsidSect="002A71B6">
      <w:headerReference w:type="even" r:id="rId23"/>
      <w:headerReference w:type="default" r:id="rId24"/>
      <w:footerReference w:type="default" r:id="rId25"/>
      <w:headerReference w:type="first" r:id="rId2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609" w:rsidRDefault="009C6609" w:rsidP="00993813">
      <w:r>
        <w:separator/>
      </w:r>
    </w:p>
  </w:endnote>
  <w:endnote w:type="continuationSeparator" w:id="0">
    <w:p w:rsidR="009C6609" w:rsidRDefault="009C6609" w:rsidP="00993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997421298"/>
      <w:docPartObj>
        <w:docPartGallery w:val="Page Numbers (Bottom of Page)"/>
        <w:docPartUnique/>
      </w:docPartObj>
    </w:sdtPr>
    <w:sdtEndPr>
      <w:rPr>
        <w:noProof/>
      </w:rPr>
    </w:sdtEndPr>
    <w:sdtContent>
      <w:p w:rsidR="006E5B67" w:rsidRPr="00486F02" w:rsidRDefault="006E5B67">
        <w:pPr>
          <w:pStyle w:val="Zpat"/>
          <w:jc w:val="right"/>
          <w:rPr>
            <w:sz w:val="18"/>
            <w:szCs w:val="18"/>
          </w:rPr>
        </w:pPr>
        <w:r w:rsidRPr="00486F02">
          <w:rPr>
            <w:sz w:val="18"/>
            <w:szCs w:val="18"/>
          </w:rPr>
          <w:fldChar w:fldCharType="begin"/>
        </w:r>
        <w:r w:rsidRPr="00486F02">
          <w:rPr>
            <w:sz w:val="18"/>
            <w:szCs w:val="18"/>
          </w:rPr>
          <w:instrText xml:space="preserve"> PAGE   \* MERGEFORMAT </w:instrText>
        </w:r>
        <w:r w:rsidRPr="00486F02">
          <w:rPr>
            <w:sz w:val="18"/>
            <w:szCs w:val="18"/>
          </w:rPr>
          <w:fldChar w:fldCharType="separate"/>
        </w:r>
        <w:r w:rsidR="0085071C">
          <w:rPr>
            <w:noProof/>
            <w:sz w:val="18"/>
            <w:szCs w:val="18"/>
          </w:rPr>
          <w:t>1</w:t>
        </w:r>
        <w:r w:rsidRPr="00486F02">
          <w:rPr>
            <w:noProof/>
            <w:sz w:val="18"/>
            <w:szCs w:val="18"/>
          </w:rPr>
          <w:fldChar w:fldCharType="end"/>
        </w:r>
      </w:p>
    </w:sdtContent>
  </w:sdt>
  <w:p w:rsidR="006E5B67" w:rsidRPr="00486F02" w:rsidRDefault="006E5B67">
    <w:pPr>
      <w:pStyle w:val="Zpa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609" w:rsidRDefault="009C6609" w:rsidP="00993813">
      <w:r>
        <w:separator/>
      </w:r>
    </w:p>
  </w:footnote>
  <w:footnote w:type="continuationSeparator" w:id="0">
    <w:p w:rsidR="009C6609" w:rsidRDefault="009C6609" w:rsidP="009938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C5A" w:rsidRDefault="00BA7C5A">
    <w:pPr>
      <w:pStyle w:val="Zhlav"/>
    </w:pPr>
    <w:r>
      <w:rPr>
        <w:noProof/>
      </w:rPr>
      <w:pict w14:anchorId="20DDC8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80908" o:spid="_x0000_s2050" type="#_x0000_t136" style="position:absolute;margin-left:0;margin-top:0;width:525pt;height:66pt;rotation:315;z-index:-251655168;mso-position-horizontal:center;mso-position-horizontal-relative:margin;mso-position-vertical:center;mso-position-vertical-relative:margin" o:allowincell="f" fillcolor="silver" stroked="f">
          <v:textpath style="font-family:&quot;Calibri&quot;;font-size:54pt" string="VEŘEJNĚ NEPŘÍSTUPNÉ!"/>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C5A" w:rsidRPr="00BA7C5A" w:rsidRDefault="00BA7C5A">
    <w:pPr>
      <w:pStyle w:val="Zhlav"/>
      <w:rPr>
        <w:color w:val="FF0000"/>
      </w:rPr>
    </w:pPr>
    <w:r w:rsidRPr="00BA7C5A">
      <w:rPr>
        <w:noProof/>
        <w:color w:val="FF0000"/>
      </w:rPr>
      <w:pict w14:anchorId="776887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80909" o:spid="_x0000_s2051" type="#_x0000_t136" style="position:absolute;margin-left:0;margin-top:0;width:525pt;height:66pt;rotation:315;z-index:-251653120;mso-position-horizontal:center;mso-position-horizontal-relative:margin;mso-position-vertical:center;mso-position-vertical-relative:margin" o:allowincell="f" fillcolor="silver" stroked="f">
          <v:textpath style="font-family:&quot;Calibri&quot;;font-size:54pt" string="VEŘEJNĚ NEPŘÍSTUPNÉ!"/>
        </v:shape>
      </w:pict>
    </w:r>
    <w:proofErr w:type="spellStart"/>
    <w:r w:rsidRPr="00BA7C5A">
      <w:rPr>
        <w:color w:val="FF0000"/>
      </w:rPr>
      <w:t>Veřejně</w:t>
    </w:r>
    <w:proofErr w:type="spellEnd"/>
    <w:r w:rsidRPr="00BA7C5A">
      <w:rPr>
        <w:color w:val="FF0000"/>
      </w:rPr>
      <w:t xml:space="preserve"> </w:t>
    </w:r>
    <w:proofErr w:type="spellStart"/>
    <w:r w:rsidRPr="00BA7C5A">
      <w:rPr>
        <w:color w:val="FF0000"/>
      </w:rPr>
      <w:t>nepřístupný</w:t>
    </w:r>
    <w:proofErr w:type="spellEnd"/>
    <w:r w:rsidRPr="00BA7C5A">
      <w:rPr>
        <w:color w:val="FF0000"/>
      </w:rPr>
      <w:t xml:space="preserve"> </w:t>
    </w:r>
    <w:proofErr w:type="spellStart"/>
    <w:r w:rsidR="00294097">
      <w:rPr>
        <w:color w:val="FF0000"/>
      </w:rPr>
      <w:t>materiá</w:t>
    </w:r>
    <w:r w:rsidRPr="00BA7C5A">
      <w:rPr>
        <w:color w:val="FF0000"/>
      </w:rPr>
      <w:t>l</w:t>
    </w:r>
    <w:proofErr w:type="spellEnd"/>
    <w:r w:rsidR="00294097">
      <w:rPr>
        <w:color w:val="FF0000"/>
      </w:rPr>
      <w:t xml:space="preserve"> pro </w:t>
    </w:r>
    <w:r w:rsidR="00294097" w:rsidRPr="00294097">
      <w:rPr>
        <w:color w:val="FF0000"/>
        <w:u w:val="single"/>
      </w:rPr>
      <w:t>INFORMACI ČLENŮ RADY</w:t>
    </w:r>
    <w:r w:rsidR="00294097">
      <w:rPr>
        <w:color w:val="FF0000"/>
      </w:rPr>
      <w:t>,</w:t>
    </w:r>
    <w:r w:rsidRPr="00BA7C5A">
      <w:rPr>
        <w:color w:val="FF0000"/>
      </w:rPr>
      <w:t xml:space="preserve"> </w:t>
    </w:r>
    <w:proofErr w:type="spellStart"/>
    <w:r w:rsidRPr="00BA7C5A">
      <w:rPr>
        <w:color w:val="FF0000"/>
      </w:rPr>
      <w:t>nedistribuovat</w:t>
    </w:r>
    <w:proofErr w:type="spellEnd"/>
    <w:r w:rsidRPr="00BA7C5A">
      <w:rPr>
        <w:color w:val="FF0000"/>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C5A" w:rsidRDefault="00BA7C5A">
    <w:pPr>
      <w:pStyle w:val="Zhlav"/>
    </w:pPr>
    <w:r>
      <w:rPr>
        <w:noProof/>
      </w:rPr>
      <w:pict w14:anchorId="57C24A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80907" o:spid="_x0000_s2049" type="#_x0000_t136" style="position:absolute;margin-left:0;margin-top:0;width:525pt;height:66pt;rotation:315;z-index:-251657216;mso-position-horizontal:center;mso-position-horizontal-relative:margin;mso-position-vertical:center;mso-position-vertical-relative:margin" o:allowincell="f" fillcolor="silver" stroked="f">
          <v:textpath style="font-family:&quot;Calibri&quot;;font-size:54pt" string="VEŘEJNĚ NEPŘÍSTUPNÉ!"/>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76B65"/>
    <w:multiLevelType w:val="hybridMultilevel"/>
    <w:tmpl w:val="BEB0D9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3835CE"/>
    <w:multiLevelType w:val="hybridMultilevel"/>
    <w:tmpl w:val="A1CEEC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448728C0"/>
    <w:multiLevelType w:val="hybridMultilevel"/>
    <w:tmpl w:val="06D22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49C69E5"/>
    <w:multiLevelType w:val="hybridMultilevel"/>
    <w:tmpl w:val="2188E2F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48EA0E09"/>
    <w:multiLevelType w:val="hybridMultilevel"/>
    <w:tmpl w:val="BEB0D9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C073744"/>
    <w:multiLevelType w:val="hybridMultilevel"/>
    <w:tmpl w:val="F990D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1374CE6"/>
    <w:multiLevelType w:val="hybridMultilevel"/>
    <w:tmpl w:val="11CE4D0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6473492B"/>
    <w:multiLevelType w:val="hybridMultilevel"/>
    <w:tmpl w:val="8ECA4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1"/>
  </w:num>
  <w:num w:numId="5">
    <w:abstractNumId w:val="3"/>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removeDateAndTime/>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1F0"/>
    <w:rsid w:val="00005620"/>
    <w:rsid w:val="0002439C"/>
    <w:rsid w:val="00024D2E"/>
    <w:rsid w:val="0003515C"/>
    <w:rsid w:val="0004622B"/>
    <w:rsid w:val="00053F6A"/>
    <w:rsid w:val="00065FAA"/>
    <w:rsid w:val="0007276B"/>
    <w:rsid w:val="00083710"/>
    <w:rsid w:val="00085A39"/>
    <w:rsid w:val="00096478"/>
    <w:rsid w:val="000D5452"/>
    <w:rsid w:val="00110A40"/>
    <w:rsid w:val="0011137F"/>
    <w:rsid w:val="00117962"/>
    <w:rsid w:val="00193D46"/>
    <w:rsid w:val="001B4BEB"/>
    <w:rsid w:val="001D45DE"/>
    <w:rsid w:val="001D6D92"/>
    <w:rsid w:val="00214EC3"/>
    <w:rsid w:val="00242372"/>
    <w:rsid w:val="00253E34"/>
    <w:rsid w:val="00266713"/>
    <w:rsid w:val="00275DF9"/>
    <w:rsid w:val="00294097"/>
    <w:rsid w:val="002956C8"/>
    <w:rsid w:val="002A71B6"/>
    <w:rsid w:val="002D723A"/>
    <w:rsid w:val="002F08EF"/>
    <w:rsid w:val="002F5BAF"/>
    <w:rsid w:val="00320DCD"/>
    <w:rsid w:val="003453C2"/>
    <w:rsid w:val="0037677A"/>
    <w:rsid w:val="003A55AC"/>
    <w:rsid w:val="003B714D"/>
    <w:rsid w:val="003C02E1"/>
    <w:rsid w:val="003D4255"/>
    <w:rsid w:val="003F3C4D"/>
    <w:rsid w:val="00422EBD"/>
    <w:rsid w:val="00444116"/>
    <w:rsid w:val="0045535B"/>
    <w:rsid w:val="00470D90"/>
    <w:rsid w:val="004823C4"/>
    <w:rsid w:val="00486F02"/>
    <w:rsid w:val="004B23A0"/>
    <w:rsid w:val="004C0DA4"/>
    <w:rsid w:val="004D6AF1"/>
    <w:rsid w:val="004E0315"/>
    <w:rsid w:val="00507E51"/>
    <w:rsid w:val="00533340"/>
    <w:rsid w:val="00574233"/>
    <w:rsid w:val="0058636B"/>
    <w:rsid w:val="00586EF7"/>
    <w:rsid w:val="00591E93"/>
    <w:rsid w:val="005F3F10"/>
    <w:rsid w:val="00606511"/>
    <w:rsid w:val="00610F79"/>
    <w:rsid w:val="00653160"/>
    <w:rsid w:val="00654B6D"/>
    <w:rsid w:val="0066442F"/>
    <w:rsid w:val="006A3A21"/>
    <w:rsid w:val="006B0A5C"/>
    <w:rsid w:val="006C104A"/>
    <w:rsid w:val="006C30FA"/>
    <w:rsid w:val="006C3778"/>
    <w:rsid w:val="006E5B67"/>
    <w:rsid w:val="00700211"/>
    <w:rsid w:val="00702BC4"/>
    <w:rsid w:val="00723651"/>
    <w:rsid w:val="00742FF0"/>
    <w:rsid w:val="00770283"/>
    <w:rsid w:val="007941A6"/>
    <w:rsid w:val="0079451F"/>
    <w:rsid w:val="007C1723"/>
    <w:rsid w:val="0085071C"/>
    <w:rsid w:val="0085393C"/>
    <w:rsid w:val="00862CFD"/>
    <w:rsid w:val="00875ED4"/>
    <w:rsid w:val="00885C80"/>
    <w:rsid w:val="008A69B3"/>
    <w:rsid w:val="00925039"/>
    <w:rsid w:val="0093763D"/>
    <w:rsid w:val="00943310"/>
    <w:rsid w:val="0094489E"/>
    <w:rsid w:val="00945463"/>
    <w:rsid w:val="00956927"/>
    <w:rsid w:val="009921BB"/>
    <w:rsid w:val="00993813"/>
    <w:rsid w:val="00995615"/>
    <w:rsid w:val="00997051"/>
    <w:rsid w:val="009A36B3"/>
    <w:rsid w:val="009A4D3A"/>
    <w:rsid w:val="009A6ECC"/>
    <w:rsid w:val="009A75D3"/>
    <w:rsid w:val="009C6609"/>
    <w:rsid w:val="009D364D"/>
    <w:rsid w:val="00A06BB0"/>
    <w:rsid w:val="00A41284"/>
    <w:rsid w:val="00A44737"/>
    <w:rsid w:val="00A569D2"/>
    <w:rsid w:val="00A74198"/>
    <w:rsid w:val="00A7507C"/>
    <w:rsid w:val="00AA4C54"/>
    <w:rsid w:val="00AC708A"/>
    <w:rsid w:val="00AD5A55"/>
    <w:rsid w:val="00AD635A"/>
    <w:rsid w:val="00B000E5"/>
    <w:rsid w:val="00B2473B"/>
    <w:rsid w:val="00B4017D"/>
    <w:rsid w:val="00B635CD"/>
    <w:rsid w:val="00B84ADF"/>
    <w:rsid w:val="00B8513A"/>
    <w:rsid w:val="00BA7C5A"/>
    <w:rsid w:val="00BB1DBE"/>
    <w:rsid w:val="00BC297B"/>
    <w:rsid w:val="00BD0E3E"/>
    <w:rsid w:val="00BD1F1C"/>
    <w:rsid w:val="00BE38D7"/>
    <w:rsid w:val="00C17625"/>
    <w:rsid w:val="00C21474"/>
    <w:rsid w:val="00C42261"/>
    <w:rsid w:val="00C4644F"/>
    <w:rsid w:val="00C523ED"/>
    <w:rsid w:val="00C55A84"/>
    <w:rsid w:val="00C7314E"/>
    <w:rsid w:val="00CA08F4"/>
    <w:rsid w:val="00CD169A"/>
    <w:rsid w:val="00CD5CE4"/>
    <w:rsid w:val="00CE1EDB"/>
    <w:rsid w:val="00CE2C94"/>
    <w:rsid w:val="00CE4783"/>
    <w:rsid w:val="00D157B7"/>
    <w:rsid w:val="00D218A8"/>
    <w:rsid w:val="00D23877"/>
    <w:rsid w:val="00D32F5C"/>
    <w:rsid w:val="00D53FE6"/>
    <w:rsid w:val="00D556D1"/>
    <w:rsid w:val="00D5705C"/>
    <w:rsid w:val="00D61452"/>
    <w:rsid w:val="00D66738"/>
    <w:rsid w:val="00D825D7"/>
    <w:rsid w:val="00D8629F"/>
    <w:rsid w:val="00DE41F0"/>
    <w:rsid w:val="00DE4CFF"/>
    <w:rsid w:val="00DF0525"/>
    <w:rsid w:val="00E40083"/>
    <w:rsid w:val="00E86D9A"/>
    <w:rsid w:val="00EB7A19"/>
    <w:rsid w:val="00EC4FE8"/>
    <w:rsid w:val="00EC6C5B"/>
    <w:rsid w:val="00EE2095"/>
    <w:rsid w:val="00EF01C3"/>
    <w:rsid w:val="00EF4AA9"/>
    <w:rsid w:val="00EF5C49"/>
    <w:rsid w:val="00F13D0F"/>
    <w:rsid w:val="00F21700"/>
    <w:rsid w:val="00F34ADC"/>
    <w:rsid w:val="00F53BA0"/>
    <w:rsid w:val="00F6730F"/>
    <w:rsid w:val="00F73087"/>
    <w:rsid w:val="00F81219"/>
    <w:rsid w:val="00FB3A7E"/>
    <w:rsid w:val="00FC3D1D"/>
    <w:rsid w:val="00FC45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76D9DE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E41F0"/>
    <w:pPr>
      <w:ind w:left="720"/>
      <w:contextualSpacing/>
    </w:pPr>
  </w:style>
  <w:style w:type="character" w:styleId="Odkaznakoment">
    <w:name w:val="annotation reference"/>
    <w:basedOn w:val="Standardnpsmoodstavce"/>
    <w:uiPriority w:val="99"/>
    <w:semiHidden/>
    <w:unhideWhenUsed/>
    <w:rsid w:val="007C1723"/>
    <w:rPr>
      <w:sz w:val="18"/>
      <w:szCs w:val="18"/>
    </w:rPr>
  </w:style>
  <w:style w:type="paragraph" w:styleId="Textkomente">
    <w:name w:val="annotation text"/>
    <w:basedOn w:val="Normln"/>
    <w:link w:val="TextkomenteChar"/>
    <w:uiPriority w:val="99"/>
    <w:semiHidden/>
    <w:unhideWhenUsed/>
    <w:rsid w:val="007C1723"/>
  </w:style>
  <w:style w:type="character" w:customStyle="1" w:styleId="TextkomenteChar">
    <w:name w:val="Text komentáře Char"/>
    <w:basedOn w:val="Standardnpsmoodstavce"/>
    <w:link w:val="Textkomente"/>
    <w:uiPriority w:val="99"/>
    <w:semiHidden/>
    <w:rsid w:val="007C1723"/>
  </w:style>
  <w:style w:type="paragraph" w:styleId="Pedmtkomente">
    <w:name w:val="annotation subject"/>
    <w:basedOn w:val="Textkomente"/>
    <w:next w:val="Textkomente"/>
    <w:link w:val="PedmtkomenteChar"/>
    <w:uiPriority w:val="99"/>
    <w:semiHidden/>
    <w:unhideWhenUsed/>
    <w:rsid w:val="007C1723"/>
    <w:rPr>
      <w:b/>
      <w:bCs/>
      <w:sz w:val="20"/>
      <w:szCs w:val="20"/>
    </w:rPr>
  </w:style>
  <w:style w:type="character" w:customStyle="1" w:styleId="PedmtkomenteChar">
    <w:name w:val="Předmět komentáře Char"/>
    <w:basedOn w:val="TextkomenteChar"/>
    <w:link w:val="Pedmtkomente"/>
    <w:uiPriority w:val="99"/>
    <w:semiHidden/>
    <w:rsid w:val="007C1723"/>
    <w:rPr>
      <w:b/>
      <w:bCs/>
      <w:sz w:val="20"/>
      <w:szCs w:val="20"/>
    </w:rPr>
  </w:style>
  <w:style w:type="paragraph" w:styleId="Textbubliny">
    <w:name w:val="Balloon Text"/>
    <w:basedOn w:val="Normln"/>
    <w:link w:val="TextbublinyChar"/>
    <w:uiPriority w:val="99"/>
    <w:semiHidden/>
    <w:unhideWhenUsed/>
    <w:rsid w:val="007C1723"/>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7C1723"/>
    <w:rPr>
      <w:rFonts w:ascii="Times New Roman" w:hAnsi="Times New Roman" w:cs="Times New Roman"/>
      <w:sz w:val="18"/>
      <w:szCs w:val="18"/>
    </w:rPr>
  </w:style>
  <w:style w:type="character" w:styleId="Hypertextovodkaz">
    <w:name w:val="Hyperlink"/>
    <w:basedOn w:val="Standardnpsmoodstavce"/>
    <w:uiPriority w:val="99"/>
    <w:rsid w:val="00993813"/>
    <w:rPr>
      <w:color w:val="0000FF"/>
      <w:u w:val="single"/>
    </w:rPr>
  </w:style>
  <w:style w:type="paragraph" w:styleId="Textpoznpodarou">
    <w:name w:val="footnote text"/>
    <w:basedOn w:val="Normln"/>
    <w:link w:val="TextpoznpodarouChar"/>
    <w:uiPriority w:val="99"/>
    <w:semiHidden/>
    <w:rsid w:val="00993813"/>
    <w:pPr>
      <w:widowControl w:val="0"/>
    </w:pPr>
    <w:rPr>
      <w:rFonts w:ascii="Arial" w:eastAsia="Arial Unicode MS" w:hAnsi="Arial" w:cs="Arial"/>
      <w:sz w:val="20"/>
      <w:szCs w:val="20"/>
      <w:lang w:eastAsia="zh-CN"/>
    </w:rPr>
  </w:style>
  <w:style w:type="character" w:customStyle="1" w:styleId="TextpoznpodarouChar">
    <w:name w:val="Text pozn. pod čarou Char"/>
    <w:basedOn w:val="Standardnpsmoodstavce"/>
    <w:link w:val="Textpoznpodarou"/>
    <w:uiPriority w:val="99"/>
    <w:semiHidden/>
    <w:rsid w:val="00993813"/>
    <w:rPr>
      <w:rFonts w:ascii="Arial" w:eastAsia="Arial Unicode MS" w:hAnsi="Arial" w:cs="Arial"/>
      <w:sz w:val="20"/>
      <w:szCs w:val="20"/>
      <w:lang w:eastAsia="zh-CN"/>
    </w:rPr>
  </w:style>
  <w:style w:type="character" w:styleId="Znakapoznpodarou">
    <w:name w:val="footnote reference"/>
    <w:basedOn w:val="Standardnpsmoodstavce"/>
    <w:uiPriority w:val="99"/>
    <w:semiHidden/>
    <w:rsid w:val="00993813"/>
    <w:rPr>
      <w:vertAlign w:val="superscript"/>
    </w:rPr>
  </w:style>
  <w:style w:type="paragraph" w:styleId="Zhlav">
    <w:name w:val="header"/>
    <w:basedOn w:val="Normln"/>
    <w:link w:val="ZhlavChar"/>
    <w:uiPriority w:val="99"/>
    <w:unhideWhenUsed/>
    <w:rsid w:val="00486F02"/>
    <w:pPr>
      <w:tabs>
        <w:tab w:val="center" w:pos="4536"/>
        <w:tab w:val="right" w:pos="9072"/>
      </w:tabs>
    </w:pPr>
  </w:style>
  <w:style w:type="character" w:customStyle="1" w:styleId="ZhlavChar">
    <w:name w:val="Záhlaví Char"/>
    <w:basedOn w:val="Standardnpsmoodstavce"/>
    <w:link w:val="Zhlav"/>
    <w:uiPriority w:val="99"/>
    <w:rsid w:val="00486F02"/>
  </w:style>
  <w:style w:type="paragraph" w:styleId="Zpat">
    <w:name w:val="footer"/>
    <w:basedOn w:val="Normln"/>
    <w:link w:val="ZpatChar"/>
    <w:uiPriority w:val="99"/>
    <w:unhideWhenUsed/>
    <w:rsid w:val="00486F02"/>
    <w:pPr>
      <w:tabs>
        <w:tab w:val="center" w:pos="4536"/>
        <w:tab w:val="right" w:pos="9072"/>
      </w:tabs>
    </w:pPr>
  </w:style>
  <w:style w:type="character" w:customStyle="1" w:styleId="ZpatChar">
    <w:name w:val="Zápatí Char"/>
    <w:basedOn w:val="Standardnpsmoodstavce"/>
    <w:link w:val="Zpat"/>
    <w:uiPriority w:val="99"/>
    <w:rsid w:val="00486F02"/>
  </w:style>
  <w:style w:type="character" w:styleId="Sledovanodkaz">
    <w:name w:val="FollowedHyperlink"/>
    <w:basedOn w:val="Standardnpsmoodstavce"/>
    <w:uiPriority w:val="99"/>
    <w:semiHidden/>
    <w:unhideWhenUsed/>
    <w:rsid w:val="009921BB"/>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E41F0"/>
    <w:pPr>
      <w:ind w:left="720"/>
      <w:contextualSpacing/>
    </w:pPr>
  </w:style>
  <w:style w:type="character" w:styleId="Odkaznakoment">
    <w:name w:val="annotation reference"/>
    <w:basedOn w:val="Standardnpsmoodstavce"/>
    <w:uiPriority w:val="99"/>
    <w:semiHidden/>
    <w:unhideWhenUsed/>
    <w:rsid w:val="007C1723"/>
    <w:rPr>
      <w:sz w:val="18"/>
      <w:szCs w:val="18"/>
    </w:rPr>
  </w:style>
  <w:style w:type="paragraph" w:styleId="Textkomente">
    <w:name w:val="annotation text"/>
    <w:basedOn w:val="Normln"/>
    <w:link w:val="TextkomenteChar"/>
    <w:uiPriority w:val="99"/>
    <w:semiHidden/>
    <w:unhideWhenUsed/>
    <w:rsid w:val="007C1723"/>
  </w:style>
  <w:style w:type="character" w:customStyle="1" w:styleId="TextkomenteChar">
    <w:name w:val="Text komentáře Char"/>
    <w:basedOn w:val="Standardnpsmoodstavce"/>
    <w:link w:val="Textkomente"/>
    <w:uiPriority w:val="99"/>
    <w:semiHidden/>
    <w:rsid w:val="007C1723"/>
  </w:style>
  <w:style w:type="paragraph" w:styleId="Pedmtkomente">
    <w:name w:val="annotation subject"/>
    <w:basedOn w:val="Textkomente"/>
    <w:next w:val="Textkomente"/>
    <w:link w:val="PedmtkomenteChar"/>
    <w:uiPriority w:val="99"/>
    <w:semiHidden/>
    <w:unhideWhenUsed/>
    <w:rsid w:val="007C1723"/>
    <w:rPr>
      <w:b/>
      <w:bCs/>
      <w:sz w:val="20"/>
      <w:szCs w:val="20"/>
    </w:rPr>
  </w:style>
  <w:style w:type="character" w:customStyle="1" w:styleId="PedmtkomenteChar">
    <w:name w:val="Předmět komentáře Char"/>
    <w:basedOn w:val="TextkomenteChar"/>
    <w:link w:val="Pedmtkomente"/>
    <w:uiPriority w:val="99"/>
    <w:semiHidden/>
    <w:rsid w:val="007C1723"/>
    <w:rPr>
      <w:b/>
      <w:bCs/>
      <w:sz w:val="20"/>
      <w:szCs w:val="20"/>
    </w:rPr>
  </w:style>
  <w:style w:type="paragraph" w:styleId="Textbubliny">
    <w:name w:val="Balloon Text"/>
    <w:basedOn w:val="Normln"/>
    <w:link w:val="TextbublinyChar"/>
    <w:uiPriority w:val="99"/>
    <w:semiHidden/>
    <w:unhideWhenUsed/>
    <w:rsid w:val="007C1723"/>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7C1723"/>
    <w:rPr>
      <w:rFonts w:ascii="Times New Roman" w:hAnsi="Times New Roman" w:cs="Times New Roman"/>
      <w:sz w:val="18"/>
      <w:szCs w:val="18"/>
    </w:rPr>
  </w:style>
  <w:style w:type="character" w:styleId="Hypertextovodkaz">
    <w:name w:val="Hyperlink"/>
    <w:basedOn w:val="Standardnpsmoodstavce"/>
    <w:uiPriority w:val="99"/>
    <w:rsid w:val="00993813"/>
    <w:rPr>
      <w:color w:val="0000FF"/>
      <w:u w:val="single"/>
    </w:rPr>
  </w:style>
  <w:style w:type="paragraph" w:styleId="Textpoznpodarou">
    <w:name w:val="footnote text"/>
    <w:basedOn w:val="Normln"/>
    <w:link w:val="TextpoznpodarouChar"/>
    <w:uiPriority w:val="99"/>
    <w:semiHidden/>
    <w:rsid w:val="00993813"/>
    <w:pPr>
      <w:widowControl w:val="0"/>
    </w:pPr>
    <w:rPr>
      <w:rFonts w:ascii="Arial" w:eastAsia="Arial Unicode MS" w:hAnsi="Arial" w:cs="Arial"/>
      <w:sz w:val="20"/>
      <w:szCs w:val="20"/>
      <w:lang w:eastAsia="zh-CN"/>
    </w:rPr>
  </w:style>
  <w:style w:type="character" w:customStyle="1" w:styleId="TextpoznpodarouChar">
    <w:name w:val="Text pozn. pod čarou Char"/>
    <w:basedOn w:val="Standardnpsmoodstavce"/>
    <w:link w:val="Textpoznpodarou"/>
    <w:uiPriority w:val="99"/>
    <w:semiHidden/>
    <w:rsid w:val="00993813"/>
    <w:rPr>
      <w:rFonts w:ascii="Arial" w:eastAsia="Arial Unicode MS" w:hAnsi="Arial" w:cs="Arial"/>
      <w:sz w:val="20"/>
      <w:szCs w:val="20"/>
      <w:lang w:eastAsia="zh-CN"/>
    </w:rPr>
  </w:style>
  <w:style w:type="character" w:styleId="Znakapoznpodarou">
    <w:name w:val="footnote reference"/>
    <w:basedOn w:val="Standardnpsmoodstavce"/>
    <w:uiPriority w:val="99"/>
    <w:semiHidden/>
    <w:rsid w:val="00993813"/>
    <w:rPr>
      <w:vertAlign w:val="superscript"/>
    </w:rPr>
  </w:style>
  <w:style w:type="paragraph" w:styleId="Zhlav">
    <w:name w:val="header"/>
    <w:basedOn w:val="Normln"/>
    <w:link w:val="ZhlavChar"/>
    <w:uiPriority w:val="99"/>
    <w:unhideWhenUsed/>
    <w:rsid w:val="00486F02"/>
    <w:pPr>
      <w:tabs>
        <w:tab w:val="center" w:pos="4536"/>
        <w:tab w:val="right" w:pos="9072"/>
      </w:tabs>
    </w:pPr>
  </w:style>
  <w:style w:type="character" w:customStyle="1" w:styleId="ZhlavChar">
    <w:name w:val="Záhlaví Char"/>
    <w:basedOn w:val="Standardnpsmoodstavce"/>
    <w:link w:val="Zhlav"/>
    <w:uiPriority w:val="99"/>
    <w:rsid w:val="00486F02"/>
  </w:style>
  <w:style w:type="paragraph" w:styleId="Zpat">
    <w:name w:val="footer"/>
    <w:basedOn w:val="Normln"/>
    <w:link w:val="ZpatChar"/>
    <w:uiPriority w:val="99"/>
    <w:unhideWhenUsed/>
    <w:rsid w:val="00486F02"/>
    <w:pPr>
      <w:tabs>
        <w:tab w:val="center" w:pos="4536"/>
        <w:tab w:val="right" w:pos="9072"/>
      </w:tabs>
    </w:pPr>
  </w:style>
  <w:style w:type="character" w:customStyle="1" w:styleId="ZpatChar">
    <w:name w:val="Zápatí Char"/>
    <w:basedOn w:val="Standardnpsmoodstavce"/>
    <w:link w:val="Zpat"/>
    <w:uiPriority w:val="99"/>
    <w:rsid w:val="00486F02"/>
  </w:style>
  <w:style w:type="character" w:styleId="Sledovanodkaz">
    <w:name w:val="FollowedHyperlink"/>
    <w:basedOn w:val="Standardnpsmoodstavce"/>
    <w:uiPriority w:val="99"/>
    <w:semiHidden/>
    <w:unhideWhenUsed/>
    <w:rsid w:val="009921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9936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ata.consilium.europa.eu/doc/document/ST-9526-2016-INIT/en/pdf" TargetMode="External"/><Relationship Id="rId18" Type="http://schemas.openxmlformats.org/officeDocument/2006/relationships/hyperlink" Target="http://www.eua.be/Libraries/publications-homepage-list/Open_access_report_v3.pdf?sfvrsn=4"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ascb.org/dora/" TargetMode="External"/><Relationship Id="rId7" Type="http://schemas.openxmlformats.org/officeDocument/2006/relationships/footnotes" Target="footnotes.xml"/><Relationship Id="rId12" Type="http://schemas.openxmlformats.org/officeDocument/2006/relationships/hyperlink" Target="https://www.eu2016.nl/binaries/eu2016/documenten/rapporten/2016/04/04/amsterdam-call-for-action-on-open-science/amsterdam-call-for-action-on-open-science.PDF" TargetMode="External"/><Relationship Id="rId17" Type="http://schemas.openxmlformats.org/officeDocument/2006/relationships/hyperlink" Target="http://www.eua.be/Libraries/publication/OA_Briefing_Paper_Final.pdf?sfvrsn=2"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ua.be/Libraries/research/Recommendations_Open_Access_adopted_by_the_EUA_Council_on_26th_of_March_2008_final_1.pdf?sfvrsn=0" TargetMode="External"/><Relationship Id="rId20" Type="http://schemas.openxmlformats.org/officeDocument/2006/relationships/hyperlink" Target="http://eua.be/Libraries/publications-homepage-list/eua-statement-on-copyright-framewor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research/openscience/index.cfm?pg=open-science-policy-platform"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eua.be/Libraries/publications-homepage-list/eua-roadmap-on-open-access-to-research-publications.pdf"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ec.europa.eu/research/participants/data/ref/h2020/grants_manual/hi/oa_pilot/h2020-hi-oa-pilot-guide_en.pdf" TargetMode="External"/><Relationship Id="rId19" Type="http://schemas.openxmlformats.org/officeDocument/2006/relationships/hyperlink" Target="http://eua.be/Libraries/publications-homepage-list/eua-roadmap-on-open-access-to-research-publications" TargetMode="External"/><Relationship Id="rId4" Type="http://schemas.microsoft.com/office/2007/relationships/stylesWithEffects" Target="stylesWithEffects.xml"/><Relationship Id="rId9" Type="http://schemas.openxmlformats.org/officeDocument/2006/relationships/hyperlink" Target="http://eua.be/Libraries/publications-homepage-list/eua-roadmap-on-open-access-to-research-publications.pdf" TargetMode="External"/><Relationship Id="rId14" Type="http://schemas.openxmlformats.org/officeDocument/2006/relationships/hyperlink" Target="https://oa2020.org/wp-content/uploads/pdfs/Expression%20of%20Interest.pdf" TargetMode="External"/><Relationship Id="rId22" Type="http://schemas.openxmlformats.org/officeDocument/2006/relationships/hyperlink" Target="http://eua.be/Libraries/publications-homepage-list/updated-eua-response-to-the-european-commission-proposal-for-a-directive-on-copyright-in-the-digital-single-market.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F8434-F62C-4FBD-9FA4-A6399379E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1749</Words>
  <Characters>10323</Characters>
  <Application>Microsoft Office Word</Application>
  <DocSecurity>0</DocSecurity>
  <Lines>86</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12048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2017-05-12T11:06:00Z</dcterms:created>
  <dcterms:modified xsi:type="dcterms:W3CDTF">2017-05-12T11:06:00Z</dcterms:modified>
</cp:coreProperties>
</file>